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tTitle"/>
      </w:pPr>
      <w:r>
        <w:t xml:space="preserve">Further Reading on the Future of AI</w:t>
      </w:r>
    </w:p>
    <w:p>
      <w:pPr>
        <w:pStyle w:val="KitSubtitle"/>
      </w:pPr>
      <w:r>
        <w:t xml:space="preserve">A verified, tiered reading list for library patrons and program follow-up</w:t>
      </w:r>
    </w:p>
    <w:p>
      <w:pPr>
        <w:pStyle w:val="KitBody"/>
      </w:pPr>
      <w:r>
        <w:t xml:space="preserve">Every item below was verified against its primary source in August 2026 (full sourcing record at ideajar.ai/resources). "Research" marks peer-reviewed or major-institution primary research; "Industry" marks reputable industry measurement; "Perspective" marks scenarios and essays, worth reading and not evidence. The list is balanced on purpose: it contains the fast view, the slow view, and the measurements that discipline both.</w:t>
      </w:r>
    </w:p>
    <w:p>
      <w:pPr>
        <w:pStyle w:val="KitH2"/>
      </w:pPr>
      <w:r>
        <w:t xml:space="preserve">Start here</w:t>
      </w:r>
    </w:p>
    <w:p>
      <w:pPr>
        <w:pStyle w:val="KitBody"/>
        <w:numPr>
          <w:ilvl w:val="0"/>
          <w:numId w:val="2"/>
        </w:numPr>
        <w:spacing w:after="90"/>
      </w:pPr>
      <w:r>
        <w:rPr>
          <w:b/>
          <w:bCs/>
        </w:rPr>
        <w:t xml:space="preserve">The 2026 AI Index Report</w:t>
      </w:r>
      <w:r>
        <w:t xml:space="preserve"> (Stanford Institute for Human-Centered AI). Industry. The annual one-volume snapshot of where AI capability, investment, and adoption actually stand. hai.stanford.edu/ai-index</w:t>
      </w:r>
    </w:p>
    <w:p>
      <w:pPr>
        <w:pStyle w:val="KitBody"/>
        <w:numPr>
          <w:ilvl w:val="0"/>
          <w:numId w:val="2"/>
        </w:numPr>
        <w:spacing w:after="90"/>
      </w:pPr>
      <w:r>
        <w:rPr>
          <w:b/>
          <w:bCs/>
        </w:rPr>
        <w:t xml:space="preserve">How Americans View AI and Its Impact on People and Society</w:t>
      </w:r>
      <w:r>
        <w:t xml:space="preserve"> (Pew Research Center, 2025). Research. The measured public mood: concern ahead of excitement two to one, and a strong majority wanting more control. pewresearch.org</w:t>
      </w:r>
    </w:p>
    <w:p>
      <w:pPr>
        <w:pStyle w:val="KitBody"/>
        <w:numPr>
          <w:ilvl w:val="0"/>
          <w:numId w:val="2"/>
        </w:numPr>
        <w:spacing w:after="90"/>
      </w:pPr>
      <w:r>
        <w:rPr>
          <w:b/>
          <w:bCs/>
        </w:rPr>
        <w:t xml:space="preserve">Trust, attitudes and use of artificial intelligence: a global study</w:t>
      </w:r>
      <w:r>
        <w:t xml:space="preserve"> (University of Melbourne and KPMG, 2025). Research. 48,000 people in 47 countries on whether they trust AI and how they actually use it at work. The largest study of its kind.</w:t>
      </w:r>
    </w:p>
    <w:p>
      <w:pPr>
        <w:pStyle w:val="KitH2"/>
      </w:pPr>
      <w:r>
        <w:t xml:space="preserve">What AI can actually do, and how fast that is changing</w:t>
      </w:r>
    </w:p>
    <w:p>
      <w:pPr>
        <w:pStyle w:val="KitBody"/>
        <w:numPr>
          <w:ilvl w:val="0"/>
          <w:numId w:val="2"/>
        </w:numPr>
        <w:spacing w:after="90"/>
      </w:pPr>
      <w:r>
        <w:rPr>
          <w:b/>
          <w:bCs/>
        </w:rPr>
        <w:t xml:space="preserve">Measuring AI Ability to Complete Long Software Tasks</w:t>
      </w:r>
      <w:r>
        <w:t xml:space="preserve"> (METR, 2025). Industry. The "time horizon" result: the length of task AI can complete on its own has doubled roughly every seven months since 2019.</w:t>
      </w:r>
    </w:p>
    <w:p>
      <w:pPr>
        <w:pStyle w:val="KitBody"/>
        <w:numPr>
          <w:ilvl w:val="0"/>
          <w:numId w:val="2"/>
        </w:numPr>
        <w:spacing w:after="90"/>
      </w:pPr>
      <w:r>
        <w:rPr>
          <w:b/>
          <w:bCs/>
        </w:rPr>
        <w:t xml:space="preserve">Measuring the Impact of Early-2025 AI on Experienced Developer Productivity</w:t>
      </w:r>
      <w:r>
        <w:t xml:space="preserve"> (METR, 2025). Industry. The humbling counterpart: in a randomized trial, experienced developers using AI were 19% slower while believing they had been 20% faster.</w:t>
      </w:r>
    </w:p>
    <w:p>
      <w:pPr>
        <w:pStyle w:val="KitH2"/>
      </w:pPr>
      <w:r>
        <w:t xml:space="preserve">What it means for work and the economy</w:t>
      </w:r>
    </w:p>
    <w:p>
      <w:pPr>
        <w:pStyle w:val="KitBody"/>
        <w:numPr>
          <w:ilvl w:val="0"/>
          <w:numId w:val="2"/>
        </w:numPr>
        <w:spacing w:after="90"/>
      </w:pPr>
      <w:r>
        <w:rPr>
          <w:b/>
          <w:bCs/>
        </w:rPr>
        <w:t xml:space="preserve">The Simple Macroeconomics of AI</w:t>
      </w:r>
      <w:r>
        <w:t xml:space="preserve"> (Daron Acemoglu, 2024). Research. The careful case that economy-wide effects will be real but modest for years: a large effect on a small share of tasks is a small effect on the whole.</w:t>
      </w:r>
    </w:p>
    <w:p>
      <w:pPr>
        <w:pStyle w:val="KitBody"/>
        <w:numPr>
          <w:ilvl w:val="0"/>
          <w:numId w:val="2"/>
        </w:numPr>
        <w:spacing w:after="90"/>
      </w:pPr>
      <w:r>
        <w:rPr>
          <w:b/>
          <w:bCs/>
        </w:rPr>
        <w:t xml:space="preserve">Generative AI at Work</w:t>
      </w:r>
      <w:r>
        <w:t xml:space="preserve"> (Brynjolfsson, Li, Raymond). Research. The landmark field experiment: AI assistance raised customer-support productivity about 15%, with the biggest gains for the least experienced workers.</w:t>
      </w:r>
    </w:p>
    <w:p>
      <w:pPr>
        <w:pStyle w:val="KitBody"/>
        <w:numPr>
          <w:ilvl w:val="0"/>
          <w:numId w:val="2"/>
        </w:numPr>
        <w:spacing w:after="90"/>
      </w:pPr>
      <w:r>
        <w:rPr>
          <w:b/>
          <w:bCs/>
        </w:rPr>
        <w:t xml:space="preserve">Navigating the Jagged Technological Frontier</w:t>
      </w:r>
      <w:r>
        <w:t xml:space="preserve"> (Dell'Acqua et al., Harvard Business School, 2023). Research. Consultants with AI finished 12% more tasks, but the "frontier" is jagged: on tasks just outside AI's competence, using it made people worse.</w:t>
      </w:r>
    </w:p>
    <w:p>
      <w:pPr>
        <w:pStyle w:val="KitBody"/>
        <w:numPr>
          <w:ilvl w:val="0"/>
          <w:numId w:val="2"/>
        </w:numPr>
        <w:spacing w:after="90"/>
      </w:pPr>
      <w:r>
        <w:rPr>
          <w:b/>
          <w:bCs/>
        </w:rPr>
        <w:t xml:space="preserve">Canaries in the Coal Mine? Six Facts about the Recent Employment Effects of Artificial Intelligence</w:t>
      </w:r>
      <w:r>
        <w:t xml:space="preserve"> (2025). Research. The finding to watch locally: employment for workers aged 22 to 25 in AI-exposed occupations fell 16% relative to peers, through reduced hiring rather than layoffs.</w:t>
      </w:r>
    </w:p>
    <w:p>
      <w:pPr>
        <w:pStyle w:val="KitBody"/>
        <w:numPr>
          <w:ilvl w:val="0"/>
          <w:numId w:val="2"/>
        </w:numPr>
        <w:spacing w:after="90"/>
      </w:pPr>
      <w:r>
        <w:rPr>
          <w:b/>
          <w:bCs/>
        </w:rPr>
        <w:t xml:space="preserve">Generative AI and Jobs: A Refined Global Index of Occupational Exposure</w:t>
      </w:r>
      <w:r>
        <w:t xml:space="preserve"> (International Labour Organization). Research. Which occupations worldwide are most exposed, with transformation more likely than elimination for most.</w:t>
      </w:r>
    </w:p>
    <w:p>
      <w:pPr>
        <w:pStyle w:val="KitH2"/>
      </w:pPr>
      <w:r>
        <w:t xml:space="preserve">The arguments about where this goes</w:t>
      </w:r>
    </w:p>
    <w:p>
      <w:pPr>
        <w:pStyle w:val="KitBody"/>
        <w:numPr>
          <w:ilvl w:val="0"/>
          <w:numId w:val="2"/>
        </w:numPr>
        <w:spacing w:after="90"/>
      </w:pPr>
      <w:r>
        <w:rPr>
          <w:b/>
          <w:bCs/>
        </w:rPr>
        <w:t xml:space="preserve">AAAI Presidential Panel on the Future of AI Research</w:t>
      </w:r>
      <w:r>
        <w:t xml:space="preserve"> (2025). Research community consensus. What the field's own researchers think is and is not close, notably more cautious than industry messaging.</w:t>
      </w:r>
    </w:p>
    <w:p>
      <w:pPr>
        <w:pStyle w:val="KitBody"/>
        <w:numPr>
          <w:ilvl w:val="0"/>
          <w:numId w:val="2"/>
        </w:numPr>
        <w:spacing w:after="90"/>
      </w:pPr>
      <w:r>
        <w:rPr>
          <w:b/>
          <w:bCs/>
        </w:rPr>
        <w:t xml:space="preserve">AI 2027</w:t>
      </w:r>
      <w:r>
        <w:t xml:space="preserve"> (2025). Perspective. The influential fast-takeoff scenario, written as a month-by-month story. Read it to understand the case the accelerationists are making.</w:t>
      </w:r>
    </w:p>
    <w:p>
      <w:pPr>
        <w:pStyle w:val="KitBody"/>
        <w:numPr>
          <w:ilvl w:val="0"/>
          <w:numId w:val="2"/>
        </w:numPr>
        <w:spacing w:after="90"/>
      </w:pPr>
      <w:r>
        <w:rPr>
          <w:b/>
          <w:bCs/>
        </w:rPr>
        <w:t xml:space="preserve">AI as Normal Technology</w:t>
      </w:r>
      <w:r>
        <w:t xml:space="preserve"> (Narayanan and Kapoor, 2025). Perspective. The deflationary counterweight: AI as a normal, diffusing technology whose impacts arrive at the speed of institutions, not algorithms.</w:t>
      </w:r>
    </w:p>
    <w:p>
      <w:pPr>
        <w:pStyle w:val="KitBody"/>
      </w:pPr>
      <w:r>
        <w:t xml:space="preserve">A note on one famous number: the widely repeated claim that "95% of corporate AI pilots fail" comes from a preliminary, non-peer-reviewed report whose data was never released, and it does not appear on this list for that reason. The habit that keeps a reading list honest is the same one that keeps a community conversation honest: check the source before repeating the number.</w:t>
      </w:r>
    </w:p>
    <w:p>
      <w:pPr>
        <w:pStyle w:val="KitMuted"/>
      </w:pPr>
      <w:r>
        <w:t xml:space="preserve">The Community AI Conversations Kit. ideajar.ai/resources. August 2026. Event packs are facilitation resources. IdeaJar takes no position on the underlying question.</w:t>
      </w:r>
    </w:p>
    <w:sectPr>
      <w:pgSz w:w="12240" w:h="15840" w:orient="portrait"/>
      <w:pgMar w:top="1260" w:right="1350" w:bottom="126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1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KitTitle">
    <w:name w:val="KitTitle"/>
    <w:basedOn w:val="Normal"/>
    <w:pPr>
      <w:spacing w:after="80"/>
    </w:pPr>
    <w:rPr>
      <w:rFonts w:ascii="Georgia" w:cs="Georgia" w:eastAsia="Georgia" w:hAnsi="Georgia"/>
      <w:b/>
      <w:bCs/>
      <w:color w:val="33312C"/>
      <w:sz w:val="44"/>
      <w:szCs w:val="44"/>
    </w:rPr>
  </w:style>
  <w:style w:type="paragraph" w:styleId="KitSubtitle">
    <w:name w:val="KitSubtitle"/>
    <w:basedOn w:val="Normal"/>
    <w:pPr>
      <w:spacing w:after="260"/>
    </w:pPr>
    <w:rPr>
      <w:rFonts w:ascii="Georgia" w:cs="Georgia" w:eastAsia="Georgia" w:hAnsi="Georgia"/>
      <w:i/>
      <w:iCs/>
      <w:color w:val="7D6B5D"/>
      <w:sz w:val="24"/>
      <w:szCs w:val="24"/>
    </w:rPr>
  </w:style>
  <w:style w:type="paragraph" w:styleId="KitH2">
    <w:name w:val="KitH2"/>
    <w:basedOn w:val="Normal"/>
    <w:next w:val="Normal"/>
    <w:pPr>
      <w:pBdr>
        <w:bottom w:val="single" w:color="D8D2C4" w:sz="4" w:space="4"/>
      </w:pBdr>
      <w:spacing w:after="140" w:before="340"/>
      <w:outlineLvl w:val="0"/>
    </w:pPr>
    <w:rPr>
      <w:rFonts w:ascii="Georgia" w:cs="Georgia" w:eastAsia="Georgia" w:hAnsi="Georgia"/>
      <w:b/>
      <w:bCs/>
      <w:color w:val="5F7256"/>
      <w:sz w:val="28"/>
      <w:szCs w:val="28"/>
    </w:rPr>
  </w:style>
  <w:style w:type="paragraph" w:styleId="KitH3">
    <w:name w:val="KitH3"/>
    <w:basedOn w:val="Normal"/>
    <w:next w:val="Normal"/>
    <w:pPr>
      <w:spacing w:after="100" w:before="240"/>
      <w:outlineLvl w:val="1"/>
    </w:pPr>
    <w:rPr>
      <w:rFonts w:ascii="Georgia" w:cs="Georgia" w:eastAsia="Georgia" w:hAnsi="Georgia"/>
      <w:b/>
      <w:bCs/>
      <w:color w:val="7D6B5D"/>
      <w:sz w:val="23"/>
      <w:szCs w:val="23"/>
    </w:rPr>
  </w:style>
  <w:style w:type="paragraph" w:styleId="KitBody">
    <w:name w:val="KitBody"/>
    <w:basedOn w:val="Normal"/>
    <w:pPr>
      <w:spacing w:after="140" w:line="288"/>
    </w:pPr>
    <w:rPr>
      <w:rFonts w:ascii="Georgia" w:cs="Georgia" w:eastAsia="Georgia" w:hAnsi="Georgia"/>
      <w:color w:val="33312C"/>
      <w:sz w:val="21"/>
      <w:szCs w:val="21"/>
    </w:rPr>
  </w:style>
  <w:style w:type="paragraph" w:styleId="KitVerbatim">
    <w:name w:val="KitVerbatim"/>
    <w:basedOn w:val="Normal"/>
    <w:pPr>
      <w:pBdr>
        <w:left w:val="single" w:color="5F7256" w:sz="12" w:space="8"/>
      </w:pBdr>
      <w:shd w:fill="F5F1E8" w:val="clear"/>
      <w:spacing w:after="140" w:line="288"/>
      <w:ind w:left="400"/>
    </w:pPr>
    <w:rPr>
      <w:rFonts w:ascii="Georgia" w:cs="Georgia" w:eastAsia="Georgia" w:hAnsi="Georgia"/>
      <w:color w:val="33312C"/>
      <w:sz w:val="21"/>
      <w:szCs w:val="21"/>
    </w:rPr>
  </w:style>
  <w:style w:type="paragraph" w:styleId="KitMuted">
    <w:name w:val="KitMuted"/>
    <w:basedOn w:val="Normal"/>
    <w:pPr>
      <w:spacing w:after="0" w:before="300"/>
    </w:pPr>
    <w:rPr>
      <w:rFonts w:ascii="Georgia" w:cs="Georgia" w:eastAsia="Georgia" w:hAnsi="Georgia"/>
      <w:color w:val="8A8578"/>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2026-08-05T21:03:46.618Z</dcterms:created>
  <dcterms:modified xsi:type="dcterms:W3CDTF">2026-08-05T21:03:46.619Z</dcterms:modified>
</cp:coreProperties>
</file>

<file path=docProps/custom.xml><?xml version="1.0" encoding="utf-8"?>
<Properties xmlns="http://schemas.openxmlformats.org/officeDocument/2006/custom-properties" xmlns:vt="http://schemas.openxmlformats.org/officeDocument/2006/docPropsVTypes"/>
</file>