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KitTitle"/>
      </w:pPr>
      <w:r>
        <w:t xml:space="preserve">Your pilot did not fail on the technology</w:t>
      </w:r>
    </w:p>
    <w:p>
      <w:pPr>
        <w:pStyle w:val="KitSubtitle"/>
      </w:pPr>
      <w:r>
        <w:t xml:space="preserve">The Workplace AI Input Kit, for transformation and AI governance leads</w:t>
      </w:r>
    </w:p>
    <w:p>
      <w:pPr>
        <w:pStyle w:val="KitBody"/>
      </w:pPr>
      <w:r>
        <w:rPr>
          <w:b/>
          <w:bCs/>
        </w:rPr>
        <w:t xml:space="preserve">Two numbers that should reorganize your rollout plan.</w:t>
      </w:r>
      <w:r>
        <w:t xml:space="preserve"> First: in a randomized controlled trial, experienced developers using AI assistance were 19% slower on real tasks while believing they had been about 20% faster (METR, 2025). The self-reported gains your dashboards collect are measuring confidence, not throughput. Second: across 47 countries, policy-violating AI use was most common where AI was banned outright (67%) and least common where no policy existed at all (33%, University of Melbourne / KPMG, n=48,340). Prohibition does not prevent use; it hides use from you. Add that 29% of employees admit to actively working against their company's AI strategy, 45% of them naming fear of becoming replaceable (Writer / Workplace Intelligence, 2026), and the pattern is clear: resistance is not a communications problem. It is unconsulted fear doing exactly what unconsulted fear does.</w:t>
      </w:r>
    </w:p>
    <w:p>
      <w:pPr>
        <w:pStyle w:val="KitBody"/>
      </w:pPr>
      <w:r>
        <w:rPr>
          <w:b/>
          <w:bCs/>
        </w:rPr>
        <w:t xml:space="preserve">What this kit produces.</w:t>
      </w:r>
      <w:r>
        <w:t xml:space="preserve"> A structured session (or two) that converts that resistance into the two lists your rollout actually needs: the boundary set, which parts of the work your people say AI should never do and which they wish it already did; and the enablement list, what each role says it needs to use AI confidently. Both arrive ratified: participants contribute anonymously and blind, an AI drafts candidate themes, and the room renames and ratifies every theme before voting. You get priorities with denominators ("supported by 31 of 47 participants"), verbatim quotes, and a process record, not a sentiment dashboard.</w:t>
      </w:r>
    </w:p>
    <w:p>
      <w:pPr>
        <w:pStyle w:val="KitH2"/>
      </w:pPr>
      <w:r>
        <w:t xml:space="preserve">How it attaches to your rollout</w:t>
      </w:r>
    </w:p>
    <w:p>
      <w:pPr>
        <w:pStyle w:val="KitBody"/>
        <w:numPr>
          <w:ilvl w:val="0"/>
          <w:numId w:val="2"/>
        </w:numPr>
        <w:spacing w:after="90"/>
      </w:pPr>
      <w:r>
        <w:rPr>
          <w:b/>
          <w:bCs/>
        </w:rPr>
        <w:t xml:space="preserve">Before tool selection:</w:t>
      </w:r>
      <w:r>
        <w:t xml:space="preserve"> the boundary session tells you where adoption will stall before you buy anything. Cheaper than learning it from usage dashboards in month six, which the perception-gap evidence says you should not trust anyway.</w:t>
      </w:r>
    </w:p>
    <w:p>
      <w:pPr>
        <w:pStyle w:val="KitBody"/>
        <w:numPr>
          <w:ilvl w:val="0"/>
          <w:numId w:val="2"/>
        </w:numPr>
        <w:spacing w:after="90"/>
      </w:pPr>
      <w:r>
        <w:rPr>
          <w:b/>
          <w:bCs/>
        </w:rPr>
        <w:t xml:space="preserve">At the rollout gate:</w:t>
      </w:r>
      <w:r>
        <w:t xml:space="preserve"> make the session a gate condition. The commitment table it ends with (theme, owner, answer-by date) is the artifact that distinguishes engagement from theater, and it is scripted into the close.</w:t>
      </w:r>
    </w:p>
    <w:p>
      <w:pPr>
        <w:pStyle w:val="KitBody"/>
        <w:numPr>
          <w:ilvl w:val="0"/>
          <w:numId w:val="2"/>
        </w:numPr>
        <w:spacing w:after="90"/>
      </w:pPr>
      <w:r>
        <w:rPr>
          <w:b/>
          <w:bCs/>
        </w:rPr>
        <w:t xml:space="preserve">For the shadow-AI problem:</w:t>
      </w:r>
      <w:r>
        <w:t xml:space="preserve"> 66% of employees have used AI against policy, 86% believe formal policies exist, and 81% believe those policies apply differently to leadership (PagerDuty, 2026). The honest fix is asking safely: the session runs under a scripted amnesty, collecting what people need, never what they did.</w:t>
      </w:r>
    </w:p>
    <w:p>
      <w:pPr>
        <w:pStyle w:val="KitBody"/>
        <w:numPr>
          <w:ilvl w:val="0"/>
          <w:numId w:val="2"/>
        </w:numPr>
        <w:spacing w:after="90"/>
      </w:pPr>
      <w:r>
        <w:rPr>
          <w:b/>
          <w:bCs/>
        </w:rPr>
        <w:t xml:space="preserve">For EU exposure:</w:t>
      </w:r>
      <w:r>
        <w:t xml:space="preserve"> round 2 output is role-level AI-literacy evidence for Article 4 (applied since February 2025, enforced from August 2026), and the provenance record is a consultation artifact a works council can verify ahead of the deployer duties arriving December 2027.</w:t>
      </w:r>
    </w:p>
    <w:p>
      <w:pPr>
        <w:pStyle w:val="KitH2"/>
      </w:pPr>
      <w:r>
        <w:t xml:space="preserve">Why the input is credible</w:t>
      </w:r>
    </w:p>
    <w:p>
      <w:pPr>
        <w:pStyle w:val="KitBody"/>
        <w:numPr>
          <w:ilvl w:val="0"/>
          <w:numId w:val="2"/>
        </w:numPr>
        <w:spacing w:after="90"/>
      </w:pPr>
      <w:r>
        <w:t xml:space="preserve">Anonymity is architectural: no demographic capture, contributions unlinked to identity in stored data, and the anonymous-vs-confidential distinction stated to the room in plain words.</w:t>
      </w:r>
    </w:p>
    <w:p>
      <w:pPr>
        <w:pStyle w:val="KitBody"/>
        <w:numPr>
          <w:ilvl w:val="0"/>
          <w:numId w:val="2"/>
        </w:numPr>
        <w:spacing w:after="90"/>
      </w:pPr>
      <w:r>
        <w:t xml:space="preserve">The AI's role is disclosed first and bounded: it drafts, the group decides, and every AI-drafted label is marked until the room ratifies it. For an AI-skeptical audience, the mechanism is the argument.</w:t>
      </w:r>
    </w:p>
    <w:p>
      <w:pPr>
        <w:pStyle w:val="KitBody"/>
        <w:numPr>
          <w:ilvl w:val="0"/>
          <w:numId w:val="2"/>
        </w:numPr>
        <w:spacing w:after="90"/>
      </w:pPr>
      <w:r>
        <w:t xml:space="preserve">Priorities carry denominators, and disagreement is published, including ideas that fit no theme. Evidence that survives a skeptical reviewer, in a deck or in front of a council.</w:t>
      </w:r>
    </w:p>
    <w:p>
      <w:pPr>
        <w:pStyle w:val="KitH2"/>
      </w:pPr>
      <w:r>
        <w:t xml:space="preserve">Logistics</w:t>
      </w:r>
    </w:p>
    <w:p>
      <w:pPr>
        <w:pStyle w:val="KitBody"/>
      </w:pPr>
      <w:r>
        <w:t xml:space="preserve">Formats: two live sittings (75-90 and 60-75 minutes) or an async week per round through an anonymous link on internal channels. Populations that will not be candid in one room (frontline, knowledge workers, managers) run separately on the same questions and are compiled afterward; the divergence between rooms is usually the finding. The platform is free during the current beta; after beta a session room is $249. Kit and details: </w:t>
      </w:r>
      <w:r>
        <w:rPr>
          <w:b/>
          <w:bCs/>
        </w:rPr>
        <w:t xml:space="preserve">ideajar.ai/resources</w:t>
      </w:r>
      <w:r>
        <w:t xml:space="preserve">. Data is processed on US infrastructure and participants are told so: if that matters to your DPO or council, surface it before scheduling.</w:t>
      </w:r>
    </w:p>
    <w:p>
      <w:pPr>
        <w:pStyle w:val="KitMuted"/>
      </w:pPr>
      <w:r>
        <w:t xml:space="preserve">The Workplace AI Input Kit. ideajar.ai/resources. August 2026. Event packs are facilitation resources. IdeaJar takes no position on the underlying question.</w:t>
      </w:r>
    </w:p>
    <w:sectPr>
      <w:pgSz w:w="12240" w:h="15840" w:orient="portrait"/>
      <w:pgMar w:top="1260" w:right="1350" w:bottom="1260" w:left="13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2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33312C"/>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KitTitle">
    <w:name w:val="KitTitle"/>
    <w:basedOn w:val="Normal"/>
    <w:pPr>
      <w:spacing w:after="80"/>
    </w:pPr>
    <w:rPr>
      <w:rFonts w:ascii="Georgia" w:cs="Georgia" w:eastAsia="Georgia" w:hAnsi="Georgia"/>
      <w:b/>
      <w:bCs/>
      <w:color w:val="33312C"/>
      <w:sz w:val="44"/>
      <w:szCs w:val="44"/>
    </w:rPr>
  </w:style>
  <w:style w:type="paragraph" w:styleId="KitSubtitle">
    <w:name w:val="KitSubtitle"/>
    <w:basedOn w:val="Normal"/>
    <w:pPr>
      <w:spacing w:after="260"/>
    </w:pPr>
    <w:rPr>
      <w:rFonts w:ascii="Georgia" w:cs="Georgia" w:eastAsia="Georgia" w:hAnsi="Georgia"/>
      <w:i/>
      <w:iCs/>
      <w:color w:val="7D6B5D"/>
      <w:sz w:val="24"/>
      <w:szCs w:val="24"/>
    </w:rPr>
  </w:style>
  <w:style w:type="paragraph" w:styleId="KitH2">
    <w:name w:val="KitH2"/>
    <w:basedOn w:val="Normal"/>
    <w:next w:val="Normal"/>
    <w:pPr>
      <w:pBdr>
        <w:bottom w:val="single" w:color="D8D2C4" w:sz="4" w:space="4"/>
      </w:pBdr>
      <w:spacing w:after="140" w:before="340"/>
      <w:outlineLvl w:val="0"/>
    </w:pPr>
    <w:rPr>
      <w:rFonts w:ascii="Georgia" w:cs="Georgia" w:eastAsia="Georgia" w:hAnsi="Georgia"/>
      <w:b/>
      <w:bCs/>
      <w:color w:val="5F7256"/>
      <w:sz w:val="28"/>
      <w:szCs w:val="28"/>
    </w:rPr>
  </w:style>
  <w:style w:type="paragraph" w:styleId="KitH3">
    <w:name w:val="KitH3"/>
    <w:basedOn w:val="Normal"/>
    <w:next w:val="Normal"/>
    <w:pPr>
      <w:spacing w:after="100" w:before="240"/>
      <w:outlineLvl w:val="1"/>
    </w:pPr>
    <w:rPr>
      <w:rFonts w:ascii="Georgia" w:cs="Georgia" w:eastAsia="Georgia" w:hAnsi="Georgia"/>
      <w:b/>
      <w:bCs/>
      <w:color w:val="7D6B5D"/>
      <w:sz w:val="23"/>
      <w:szCs w:val="23"/>
    </w:rPr>
  </w:style>
  <w:style w:type="paragraph" w:styleId="KitBody">
    <w:name w:val="KitBody"/>
    <w:basedOn w:val="Normal"/>
    <w:pPr>
      <w:spacing w:after="140" w:line="288"/>
    </w:pPr>
    <w:rPr>
      <w:rFonts w:ascii="Georgia" w:cs="Georgia" w:eastAsia="Georgia" w:hAnsi="Georgia"/>
      <w:color w:val="33312C"/>
      <w:sz w:val="21"/>
      <w:szCs w:val="21"/>
    </w:rPr>
  </w:style>
  <w:style w:type="paragraph" w:styleId="KitVerbatim">
    <w:name w:val="KitVerbatim"/>
    <w:basedOn w:val="Normal"/>
    <w:pPr>
      <w:pBdr>
        <w:left w:val="single" w:color="5F7256" w:sz="12" w:space="8"/>
      </w:pBdr>
      <w:shd w:fill="F5F1E8" w:val="clear"/>
      <w:spacing w:after="140" w:line="288"/>
      <w:ind w:left="400"/>
    </w:pPr>
    <w:rPr>
      <w:rFonts w:ascii="Georgia" w:cs="Georgia" w:eastAsia="Georgia" w:hAnsi="Georgia"/>
      <w:color w:val="33312C"/>
      <w:sz w:val="21"/>
      <w:szCs w:val="21"/>
    </w:rPr>
  </w:style>
  <w:style w:type="paragraph" w:styleId="KitMuted">
    <w:name w:val="KitMuted"/>
    <w:basedOn w:val="Normal"/>
    <w:pPr>
      <w:spacing w:after="0" w:before="300"/>
    </w:pPr>
    <w:rPr>
      <w:rFonts w:ascii="Georgia" w:cs="Georgia" w:eastAsia="Georgia" w:hAnsi="Georgia"/>
      <w:color w:val="8A8578"/>
      <w:sz w:val="17"/>
      <w:szCs w:val="17"/>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2026-08-05T17:20:45.020Z</dcterms:created>
  <dcterms:modified xsi:type="dcterms:W3CDTF">2026-08-05T17:20:45.020Z</dcterms:modified>
</cp:coreProperties>
</file>

<file path=docProps/custom.xml><?xml version="1.0" encoding="utf-8"?>
<Properties xmlns="http://schemas.openxmlformats.org/officeDocument/2006/custom-properties" xmlns:vt="http://schemas.openxmlformats.org/officeDocument/2006/docPropsVTypes"/>
</file>