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tTitle"/>
      </w:pPr>
      <w:r>
        <w:t xml:space="preserve">Citing the Session in Your Application</w:t>
      </w:r>
    </w:p>
    <w:p>
      <w:pPr>
        <w:pStyle w:val="KitSubtitle"/>
      </w:pPr>
      <w:r>
        <w:t xml:space="preserve">A worked example, with the letter of support it replaces beside it</w:t>
      </w:r>
    </w:p>
    <w:p>
      <w:pPr>
        <w:pStyle w:val="KitBody"/>
      </w:pPr>
      <w:r>
        <w:t xml:space="preserve">The scenario, typical rather than real: a community association is applying to CFEP Small for a commercial-grade kitchen upgrade in its hall. Question 12a asks: "What is the identified community need?" Question 13 asks the association to describe how the project includes community involvement. Below, the same claim evidenced two ways.</w:t>
      </w:r>
    </w:p>
    <w:p>
      <w:pPr>
        <w:pStyle w:val="KitH2"/>
      </w:pPr>
      <w:r>
        <w:t xml:space="preserve">What a letter of support gives the reviewer</w:t>
      </w:r>
    </w:p>
    <w:p>
      <w:pPr>
        <w:pStyle w:val="KitBody"/>
      </w:pPr>
      <w:r>
        <w:rPr>
          <w:b/>
          <w:bCs/>
          <w:color w:val="5F7256"/>
        </w:rPr>
        <w:t xml:space="preserve">A REPRESENTATIVE LETTER:</w:t>
      </w:r>
    </w:p>
    <w:p>
      <w:pPr>
        <w:pStyle w:val="KitVerbatim"/>
      </w:pPr>
      <w:r>
        <w:t xml:space="preserve">"On behalf of the Riverbend Seniors' Circle, I am pleased to support the Hall Association's kitchen renovation project. Our members regularly use the hall and would benefit greatly from improved facilities. We believe this project addresses an important community need and encourage the committee to fund it."</w:t>
      </w:r>
    </w:p>
    <w:p>
      <w:pPr>
        <w:pStyle w:val="KitBody"/>
      </w:pPr>
      <w:r>
        <w:t xml:space="preserve">The letter is sincere and worth including. But notice what it contains: one organization's endorsement, no community voices, no numbers, and the phrase "we believe this project addresses an important community need," which asserts the conclusion the application is supposed to demonstrate. CIP's own guidelines (4.3.5) list letters as the alternative to "data on the community needs," not as the equivalent.</w:t>
      </w:r>
    </w:p>
    <w:p>
      <w:pPr>
        <w:pStyle w:val="KitH2"/>
      </w:pPr>
      <w:r>
        <w:t xml:space="preserve">What the session report gives the reviewer</w:t>
      </w:r>
    </w:p>
    <w:p>
      <w:pPr>
        <w:pStyle w:val="KitBody"/>
      </w:pPr>
      <w:r>
        <w:t xml:space="preserve">The same association runs the async week from this kit: 31 residents contribute anonymously over five days, 19 return for the closing hour, ratify the theme names, and vote. The report the platform generates carries ratified themes, tallies with denominators, verbatim quotes, and the process record. The application then answers 12a like this:</w:t>
      </w:r>
    </w:p>
    <w:p>
      <w:pPr>
        <w:pStyle w:val="KitBody"/>
      </w:pPr>
      <w:r>
        <w:rPr>
          <w:b/>
          <w:bCs/>
          <w:color w:val="5F7256"/>
        </w:rPr>
        <w:t xml:space="preserve">THE NARRATIVE PARAGRAPH (adapt freely):</w:t>
      </w:r>
    </w:p>
    <w:p>
      <w:pPr>
        <w:pStyle w:val="KitVerbatim"/>
      </w:pPr>
      <w:r>
        <w:t xml:space="preserve">In September 2026 the Association ran a structured community input session on the question "What do you need here that you currently have to leave the community to get?" Thirty-one residents contributed anonymously; participants themselves reviewed and ratified the theme names and voted on each theme. The strongest theme, "Nowhere to cook or eat together" (endorsed by 16 of 19 closing-session participants), gathered accounts of program cooking moved to a school 40 km away and shared meals discontinued after the old stove failed inspection. One participant wrote: "The seniors' lunch stopped in March. For some of us that was the only cooked meal in company all week." Themes were drafted with AI assistance and every theme name was reviewed and ratified by participants; the full report and process record are attached as Appendix B.</w:t>
      </w:r>
    </w:p>
    <w:p>
      <w:pPr>
        <w:pStyle w:val="KitH2"/>
      </w:pPr>
      <w:r>
        <w:t xml:space="preserve">Why this works on a reviewer</w:t>
      </w:r>
    </w:p>
    <w:p>
      <w:pPr>
        <w:pStyle w:val="KitBody"/>
        <w:numPr>
          <w:ilvl w:val="0"/>
          <w:numId w:val="2"/>
        </w:numPr>
        <w:spacing w:after="90"/>
      </w:pPr>
      <w:r>
        <w:t xml:space="preserve">It answers 12a in the community's ratified words, not the applicant's: the need was named by the people who have it.</w:t>
      </w:r>
    </w:p>
    <w:p>
      <w:pPr>
        <w:pStyle w:val="KitBody"/>
        <w:numPr>
          <w:ilvl w:val="0"/>
          <w:numId w:val="2"/>
        </w:numPr>
        <w:spacing w:after="90"/>
      </w:pPr>
      <w:r>
        <w:t xml:space="preserve">Every number has a denominator, so the claim is checkable against the attached report.</w:t>
      </w:r>
    </w:p>
    <w:p>
      <w:pPr>
        <w:pStyle w:val="KitBody"/>
        <w:numPr>
          <w:ilvl w:val="0"/>
          <w:numId w:val="2"/>
        </w:numPr>
        <w:spacing w:after="90"/>
      </w:pPr>
      <w:r>
        <w:t xml:space="preserve">The verbatim quote does what letters cannot: it puts a resident's voice inside the application.</w:t>
      </w:r>
    </w:p>
    <w:p>
      <w:pPr>
        <w:pStyle w:val="KitBody"/>
        <w:numPr>
          <w:ilvl w:val="0"/>
          <w:numId w:val="2"/>
        </w:numPr>
        <w:spacing w:after="90"/>
      </w:pPr>
      <w:r>
        <w:t xml:space="preserve">The AI disclosure is one sentence, made honestly, and immediately answered by the ratification fact. A reviewer who worries about AI-written evidence is told exactly why this is not that.</w:t>
      </w:r>
    </w:p>
    <w:p>
      <w:pPr>
        <w:pStyle w:val="KitBody"/>
        <w:numPr>
          <w:ilvl w:val="0"/>
          <w:numId w:val="2"/>
        </w:numPr>
        <w:spacing w:after="90"/>
      </w:pPr>
      <w:r>
        <w:t xml:space="preserve">It also answers question 13 for free: the involvement is the method.</w:t>
      </w:r>
    </w:p>
    <w:p>
      <w:pPr>
        <w:pStyle w:val="KitH2"/>
      </w:pPr>
      <w:r>
        <w:t xml:space="preserve">Rules for the citation</w:t>
      </w:r>
    </w:p>
    <w:p>
      <w:pPr>
        <w:pStyle w:val="KitBody"/>
        <w:numPr>
          <w:ilvl w:val="0"/>
          <w:numId w:val="2"/>
        </w:numPr>
        <w:spacing w:after="90"/>
      </w:pPr>
      <w:r>
        <w:t xml:space="preserve">Attach the full synthesis report as an appendix and cite it by appendix letter. Never quote the report selectively on a contested point without the full report attached.</w:t>
      </w:r>
    </w:p>
    <w:p>
      <w:pPr>
        <w:pStyle w:val="KitBody"/>
        <w:numPr>
          <w:ilvl w:val="0"/>
          <w:numId w:val="2"/>
        </w:numPr>
        <w:spacing w:after="90"/>
      </w:pPr>
      <w:r>
        <w:t xml:space="preserve">Keep the denominators. If the closing hour was smaller than the gather pool, say so, as the example does. Reviewers trust applicants who show their arithmetic.</w:t>
      </w:r>
    </w:p>
    <w:p>
      <w:pPr>
        <w:pStyle w:val="KitBody"/>
        <w:numPr>
          <w:ilvl w:val="0"/>
          <w:numId w:val="2"/>
        </w:numPr>
        <w:spacing w:after="90"/>
      </w:pPr>
      <w:r>
        <w:t xml:space="preserve">Include the AI disclosure sentence. Omitting it risks more than stating it: the process record is attached and says what the AI did.</w:t>
      </w:r>
    </w:p>
    <w:p>
      <w:pPr>
        <w:pStyle w:val="KitBody"/>
        <w:numPr>
          <w:ilvl w:val="0"/>
          <w:numId w:val="2"/>
        </w:numPr>
        <w:spacing w:after="90"/>
      </w:pPr>
      <w:r>
        <w:t xml:space="preserve">Report disagreement where it matters. If a second theme cut against the project, name it and respond to it in the narrative. An application that survives its own evidence is stronger than one that curates it.</w:t>
      </w:r>
    </w:p>
    <w:p>
      <w:pPr>
        <w:pStyle w:val="KitBody"/>
        <w:numPr>
          <w:ilvl w:val="0"/>
          <w:numId w:val="2"/>
        </w:numPr>
        <w:spacing w:after="90"/>
      </w:pPr>
      <w:r>
        <w:t xml:space="preserve">Never write that the session guarantees, predicts, or improves funding odds. The claim is that the need is documented, full stop.</w:t>
      </w:r>
    </w:p>
    <w:p>
      <w:pPr>
        <w:pStyle w:val="KitH2"/>
      </w:pPr>
      <w:r>
        <w:t xml:space="preserve">If the funder asks about the method</w:t>
      </w:r>
    </w:p>
    <w:p>
      <w:pPr>
        <w:pStyle w:val="KitBody"/>
      </w:pPr>
      <w:r>
        <w:t xml:space="preserve">A one-paragraph answer that has the virtue of being true: "We used a structured group-inquiry platform (IdeaJar) in which participants contribute anonymously, AI drafts candidate themes from the contributions, and participants review, correct, and ratify every theme before voting on resonance. The output is participant-ratified data with a complete process record. Participant data is processed on US-based infrastructure and participants are informed of this at the start of the session."</w:t>
      </w:r>
    </w:p>
    <w:p>
      <w:pPr>
        <w:pStyle w:val="KitMuted"/>
      </w:pPr>
      <w:r>
        <w:t xml:space="preserve">The Grant-Season Community Input Kit. ideajar.ai/resources. August 2026. Event packs are facilitation resources. IdeaJar takes no position on the underlying question.</w:t>
      </w:r>
    </w:p>
    <w:sectPr>
      <w:pgSz w:w="12240" w:h="15840" w:orient="portrait"/>
      <w:pgMar w:top="1260" w:right="1350" w:bottom="126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1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KitTitle">
    <w:name w:val="KitTitle"/>
    <w:basedOn w:val="Normal"/>
    <w:pPr>
      <w:spacing w:after="80"/>
    </w:pPr>
    <w:rPr>
      <w:rFonts w:ascii="Georgia" w:cs="Georgia" w:eastAsia="Georgia" w:hAnsi="Georgia"/>
      <w:b/>
      <w:bCs/>
      <w:color w:val="33312C"/>
      <w:sz w:val="44"/>
      <w:szCs w:val="44"/>
    </w:rPr>
  </w:style>
  <w:style w:type="paragraph" w:styleId="KitSubtitle">
    <w:name w:val="KitSubtitle"/>
    <w:basedOn w:val="Normal"/>
    <w:pPr>
      <w:spacing w:after="260"/>
    </w:pPr>
    <w:rPr>
      <w:rFonts w:ascii="Georgia" w:cs="Georgia" w:eastAsia="Georgia" w:hAnsi="Georgia"/>
      <w:i/>
      <w:iCs/>
      <w:color w:val="7D6B5D"/>
      <w:sz w:val="24"/>
      <w:szCs w:val="24"/>
    </w:rPr>
  </w:style>
  <w:style w:type="paragraph" w:styleId="KitH2">
    <w:name w:val="KitH2"/>
    <w:basedOn w:val="Normal"/>
    <w:next w:val="Normal"/>
    <w:pPr>
      <w:pBdr>
        <w:bottom w:val="single" w:color="D8D2C4" w:sz="4" w:space="4"/>
      </w:pBdr>
      <w:spacing w:after="140" w:before="340"/>
      <w:outlineLvl w:val="0"/>
    </w:pPr>
    <w:rPr>
      <w:rFonts w:ascii="Georgia" w:cs="Georgia" w:eastAsia="Georgia" w:hAnsi="Georgia"/>
      <w:b/>
      <w:bCs/>
      <w:color w:val="5F7256"/>
      <w:sz w:val="28"/>
      <w:szCs w:val="28"/>
    </w:rPr>
  </w:style>
  <w:style w:type="paragraph" w:styleId="KitH3">
    <w:name w:val="KitH3"/>
    <w:basedOn w:val="Normal"/>
    <w:next w:val="Normal"/>
    <w:pPr>
      <w:spacing w:after="100" w:before="240"/>
      <w:outlineLvl w:val="1"/>
    </w:pPr>
    <w:rPr>
      <w:rFonts w:ascii="Georgia" w:cs="Georgia" w:eastAsia="Georgia" w:hAnsi="Georgia"/>
      <w:b/>
      <w:bCs/>
      <w:color w:val="7D6B5D"/>
      <w:sz w:val="23"/>
      <w:szCs w:val="23"/>
    </w:rPr>
  </w:style>
  <w:style w:type="paragraph" w:styleId="KitBody">
    <w:name w:val="KitBody"/>
    <w:basedOn w:val="Normal"/>
    <w:pPr>
      <w:spacing w:after="140" w:line="288"/>
    </w:pPr>
    <w:rPr>
      <w:rFonts w:ascii="Georgia" w:cs="Georgia" w:eastAsia="Georgia" w:hAnsi="Georgia"/>
      <w:color w:val="33312C"/>
      <w:sz w:val="21"/>
      <w:szCs w:val="21"/>
    </w:rPr>
  </w:style>
  <w:style w:type="paragraph" w:styleId="KitVerbatim">
    <w:name w:val="KitVerbatim"/>
    <w:basedOn w:val="Normal"/>
    <w:pPr>
      <w:pBdr>
        <w:left w:val="single" w:color="5F7256" w:sz="12" w:space="8"/>
      </w:pBdr>
      <w:shd w:fill="F5F1E8" w:val="clear"/>
      <w:spacing w:after="140" w:line="288"/>
      <w:ind w:left="400"/>
    </w:pPr>
    <w:rPr>
      <w:rFonts w:ascii="Georgia" w:cs="Georgia" w:eastAsia="Georgia" w:hAnsi="Georgia"/>
      <w:color w:val="33312C"/>
      <w:sz w:val="21"/>
      <w:szCs w:val="21"/>
    </w:rPr>
  </w:style>
  <w:style w:type="paragraph" w:styleId="KitMuted">
    <w:name w:val="KitMuted"/>
    <w:basedOn w:val="Normal"/>
    <w:pPr>
      <w:spacing w:after="0" w:before="300"/>
    </w:pPr>
    <w:rPr>
      <w:rFonts w:ascii="Georgia" w:cs="Georgia" w:eastAsia="Georgia" w:hAnsi="Georgia"/>
      <w:color w:val="8A8578"/>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2026-08-05T16:12:42.261Z</dcterms:created>
  <dcterms:modified xsi:type="dcterms:W3CDTF">2026-08-05T16:12:42.261Z</dcterms:modified>
</cp:coreProperties>
</file>

<file path=docProps/custom.xml><?xml version="1.0" encoding="utf-8"?>
<Properties xmlns="http://schemas.openxmlformats.org/officeDocument/2006/custom-properties" xmlns:vt="http://schemas.openxmlformats.org/officeDocument/2006/docPropsVTypes"/>
</file>