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KitTitle"/>
      </w:pPr>
      <w:r>
        <w:t xml:space="preserve">Facilitator Guide</w:t>
      </w:r>
    </w:p>
    <w:p>
      <w:pPr>
        <w:pStyle w:val="KitSubtitle"/>
      </w:pPr>
      <w:r>
        <w:t xml:space="preserve">The Grant-Season Community Input Kit</w:t>
      </w:r>
    </w:p>
    <w:p>
      <w:pPr>
        <w:pStyle w:val="KitBody"/>
      </w:pPr>
      <w:r>
        <w:t xml:space="preserve">This kit runs one structured, anonymous community session and turns it into evidence a grant reviewer can check: ratified theme names, vote tallies with denominators, verbatim quotes, and a process record. This guide teaches the platform and this kit's rules. It assumes you can already hold a room; it does not assume you have used IdeaJar before.</w:t>
      </w:r>
    </w:p>
    <w:p>
      <w:pPr>
        <w:pStyle w:val="KitBody"/>
      </w:pPr>
      <w:r>
        <w:t xml:space="preserve">One rule above the others. </w:t>
      </w:r>
      <w:r>
        <w:rPr>
          <w:b/>
          <w:bCs/>
        </w:rPr>
        <w:t xml:space="preserve">Do not run this session for an organization that has already written its plan and wants evidence for it.</w:t>
      </w:r>
      <w:r>
        <w:t xml:space="preserve"> Participants recognize consultation theatre, funders recognize it in the record, and the method's credibility is the thing you are selling to the reviewer. The worksheet in the question guide requires the organization's written commitment to use the report as generated, including themes that cut against the planned project. Get that commitment before you get a date.</w:t>
      </w:r>
    </w:p>
    <w:p>
      <w:pPr>
        <w:pStyle w:val="KitH2"/>
      </w:pPr>
      <w:r>
        <w:t xml:space="preserve">Before the session</w:t>
      </w:r>
    </w:p>
    <w:p>
      <w:pPr>
        <w:pStyle w:val="KitH3"/>
      </w:pPr>
      <w:r>
        <w:t xml:space="preserve">Setup with the organization</w:t>
      </w:r>
    </w:p>
    <w:p>
      <w:pPr>
        <w:pStyle w:val="KitBody"/>
      </w:pPr>
      <w:r>
        <w:t xml:space="preserve">Confirm four things in writing before you confirm a date.</w:t>
      </w:r>
    </w:p>
    <w:p>
      <w:pPr>
        <w:pStyle w:val="KitBody"/>
        <w:numPr>
          <w:ilvl w:val="0"/>
          <w:numId w:val="2"/>
        </w:numPr>
        <w:spacing w:after="90"/>
      </w:pPr>
      <w:r>
        <w:t xml:space="preserve">The target grant program and its deadline, checked against the timeline table in the one-pager. Inside two weeks of a deadline, run the single room, not the async week, or aim at the next intake.</w:t>
      </w:r>
    </w:p>
    <w:p>
      <w:pPr>
        <w:pStyle w:val="KitBody"/>
        <w:numPr>
          <w:ilvl w:val="0"/>
          <w:numId w:val="2"/>
        </w:numPr>
        <w:spacing w:after="90"/>
      </w:pPr>
      <w:r>
        <w:t xml:space="preserve">The population for this session. One room per priority population: a seniors' room and a youth room are two sessions, compiled at the desk afterward, never averaged in one room.</w:t>
      </w:r>
    </w:p>
    <w:p>
      <w:pPr>
        <w:pStyle w:val="KitBody"/>
        <w:numPr>
          <w:ilvl w:val="0"/>
          <w:numId w:val="2"/>
        </w:numPr>
        <w:spacing w:after="90"/>
      </w:pPr>
      <w:r>
        <w:t xml:space="preserve">The commitment to use the report as generated. This is the line that makes the "is this box-ticking?" answer on the escalation card true.</w:t>
      </w:r>
    </w:p>
    <w:p>
      <w:pPr>
        <w:pStyle w:val="KitBody"/>
        <w:numPr>
          <w:ilvl w:val="0"/>
          <w:numId w:val="2"/>
        </w:numPr>
        <w:spacing w:after="90"/>
      </w:pPr>
      <w:r>
        <w:t xml:space="preserve">Who the organization's named contact is for incidents, and that the participant invitation will say plainly that the record may support a funding application.</w:t>
      </w:r>
    </w:p>
    <w:p>
      <w:pPr>
        <w:pStyle w:val="KitH3"/>
      </w:pPr>
      <w:r>
        <w:t xml:space="preserve">Room and tech checklist (single room)</w:t>
      </w:r>
    </w:p>
    <w:p>
      <w:pPr>
        <w:pStyle w:val="KitBody"/>
        <w:numPr>
          <w:ilvl w:val="0"/>
          <w:numId w:val="2"/>
        </w:numPr>
        <w:spacing w:after="90"/>
      </w:pPr>
      <w:r>
        <w:t xml:space="preserve">Your laptop, charger, and an HDMI adapter. Test projection before participants arrive.</w:t>
      </w:r>
    </w:p>
    <w:p>
      <w:pPr>
        <w:pStyle w:val="KitBody"/>
        <w:numPr>
          <w:ilvl w:val="0"/>
          <w:numId w:val="2"/>
        </w:numPr>
        <w:spacing w:after="90"/>
      </w:pPr>
      <w:r>
        <w:t xml:space="preserve">A phone on a separate mobile network as a backup for the session link and as a hotspot if venue Wi-Fi fails.</w:t>
      </w:r>
    </w:p>
    <w:p>
      <w:pPr>
        <w:pStyle w:val="KitBody"/>
        <w:numPr>
          <w:ilvl w:val="0"/>
          <w:numId w:val="2"/>
        </w:numPr>
        <w:spacing w:after="90"/>
      </w:pPr>
      <w:r>
        <w:t xml:space="preserve">The session share code written large on chart paper or a slide: the primary fallback if the link fails.</w:t>
      </w:r>
    </w:p>
    <w:p>
      <w:pPr>
        <w:pStyle w:val="KitBody"/>
        <w:numPr>
          <w:ilvl w:val="0"/>
          <w:numId w:val="2"/>
        </w:numPr>
        <w:spacing w:after="90"/>
      </w:pPr>
      <w:r>
        <w:t xml:space="preserve">Printed opening script, one copy to read from.</w:t>
      </w:r>
    </w:p>
    <w:p>
      <w:pPr>
        <w:pStyle w:val="KitBody"/>
        <w:numPr>
          <w:ilvl w:val="0"/>
          <w:numId w:val="2"/>
        </w:numPr>
        <w:spacing w:after="90"/>
      </w:pPr>
      <w:r>
        <w:t xml:space="preserve">Printed one-page "how to join" card with the join link written out.</w:t>
      </w:r>
    </w:p>
    <w:p>
      <w:pPr>
        <w:pStyle w:val="KitBody"/>
        <w:numPr>
          <w:ilvl w:val="0"/>
          <w:numId w:val="2"/>
        </w:numPr>
        <w:spacing w:after="90"/>
      </w:pPr>
      <w:r>
        <w:t xml:space="preserve">Chart paper and markers: if the platform fails outright you still run the conversation on paper, and the record notes the failure honestly.</w:t>
      </w:r>
    </w:p>
    <w:p>
      <w:pPr>
        <w:pStyle w:val="KitBody"/>
        <w:numPr>
          <w:ilvl w:val="0"/>
          <w:numId w:val="2"/>
        </w:numPr>
        <w:spacing w:after="90"/>
      </w:pPr>
      <w:r>
        <w:t xml:space="preserve">Debrief form, and your printed contact sheet with local crisis and support numbers. In a needs assessment, assume you will need them.</w:t>
      </w:r>
    </w:p>
    <w:p>
      <w:pPr>
        <w:pStyle w:val="KitH3"/>
      </w:pPr>
      <w:r>
        <w:t xml:space="preserve">Creating and configuring the session</w:t>
      </w:r>
    </w:p>
    <w:p>
      <w:pPr>
        <w:pStyle w:val="KitBody"/>
      </w:pPr>
      <w:r>
        <w:t xml:space="preserve">Create the session from the </w:t>
      </w:r>
      <w:r>
        <w:rPr>
          <w:b/>
          <w:bCs/>
        </w:rPr>
        <w:t xml:space="preserve">needs-assessment preset</w:t>
      </w:r>
      <w:r>
        <w:t xml:space="preserve">. The preset pins the settings this kit's promises depend on: anonymous participation on, raffle off, no email required, voice and drawing input off, community ideas hidden during gather, blind-then-reveal voting in shuffled order. The pins are locks, not defaults: leave them locked. Everything the opening script promises about anonymity is true because of this configuration.</w:t>
      </w:r>
    </w:p>
    <w:p>
      <w:pPr>
        <w:pStyle w:val="KitBody"/>
      </w:pPr>
      <w:r>
        <w:t xml:space="preserve">Session creation is three pages: basics (title, description, goal, participant cap), question cultivation, then review and create. The description is fed to the AI that drafts your opening question, so write two or three sentences of real context: the community, the population, what the organization does. Do not put the planned project or the grant program into it. The question guide covers cultivation in detail, including the three platform quirks you will meet on the cultivation page.</w:t>
      </w:r>
    </w:p>
    <w:p>
      <w:pPr>
        <w:pStyle w:val="KitBody"/>
      </w:pPr>
      <w:r>
        <w:t xml:space="preserve">Session creation is not transactional: if the page errors after the session appears, you can end up with a session that has no question. If that happens, create a fresh session rather than patching the broken one.</w:t>
      </w:r>
    </w:p>
    <w:p>
      <w:pPr>
        <w:pStyle w:val="KitH3"/>
      </w:pPr>
      <w:r>
        <w:t xml:space="preserve">The join link</w:t>
      </w:r>
    </w:p>
    <w:p>
      <w:pPr>
        <w:pStyle w:val="KitBody"/>
      </w:pPr>
      <w:r>
        <w:t xml:space="preserve">Take the join link from the success page shown right after you create the session: the site address, then /join/, then your code. Do not use the QR code or the "Direct Link" inside the Share Session card, and do not use any link of the form /q/ followed by a code: those drop the code or land participants on the wrong entry. If you want a QR code, generate it yourself from the working /join/ link.</w:t>
      </w:r>
    </w:p>
    <w:p>
      <w:pPr>
        <w:pStyle w:val="KitH3"/>
      </w:pPr>
      <w:r>
        <w:t xml:space="preserve">The practice run</w:t>
      </w:r>
    </w:p>
    <w:p>
      <w:pPr>
        <w:pStyle w:val="KitBody"/>
      </w:pPr>
      <w:r>
        <w:t xml:space="preserve">Complete one full practice run in a throwaway session before you facilitate a live one. Seed at least eight ideas, and make two of them a directly opposing pair on the same subject ("we need a food program at the hall" / "the hall is the wrong place for a food program"). Run EMERGE and watch the pair land in the same cluster. Practice moving an idea with the "..." menu, renaming a cluster with the pencil icon, and reading the coverage panel. That drill is the whole job in miniature.</w:t>
      </w:r>
    </w:p>
    <w:p>
      <w:pPr>
        <w:pStyle w:val="KitH2"/>
      </w:pPr>
      <w:r>
        <w:t xml:space="preserve">Format A: the async week</w:t>
      </w:r>
    </w:p>
    <w:p>
      <w:pPr>
        <w:pStyle w:val="KitBody"/>
        <w:numPr>
          <w:ilvl w:val="0"/>
          <w:numId w:val="2"/>
        </w:numPr>
        <w:spacing w:after="90"/>
      </w:pPr>
      <w:r>
        <w:rPr>
          <w:b/>
          <w:bCs/>
        </w:rPr>
        <w:t xml:space="preserve">Day 0.</w:t>
      </w:r>
      <w:r>
        <w:t xml:space="preserve"> Create the session from the preset, cultivate the question, and send the join link through the organization's channels. The invitation must carry the disclosure: anonymous, and the record may support a funding application. A short version of the opening script's commitments belongs in the invitation.</w:t>
      </w:r>
    </w:p>
    <w:p>
      <w:pPr>
        <w:pStyle w:val="KitBody"/>
        <w:numPr>
          <w:ilvl w:val="0"/>
          <w:numId w:val="2"/>
        </w:numPr>
        <w:spacing w:after="90"/>
      </w:pPr>
      <w:r>
        <w:rPr>
          <w:b/>
          <w:bCs/>
        </w:rPr>
        <w:t xml:space="preserve">Days 1 to 5.</w:t>
      </w:r>
      <w:r>
        <w:t xml:space="preserve"> Participants contribute anonymously from their own devices, and nobody sees others' ideas while contributing. The platform sends no reminders, so the organization runs the drumbeat: one nudge on day 2, one on day 4, through the same channels as the invitation.</w:t>
      </w:r>
    </w:p>
    <w:p>
      <w:pPr>
        <w:pStyle w:val="KitBody"/>
        <w:numPr>
          <w:ilvl w:val="0"/>
          <w:numId w:val="2"/>
        </w:numPr>
        <w:spacing w:after="90"/>
      </w:pPr>
      <w:r>
        <w:rPr>
          <w:b/>
          <w:bCs/>
        </w:rPr>
        <w:t xml:space="preserve">Day 5, the floor check.</w:t>
      </w:r>
      <w:r>
        <w:t xml:space="preserve"> Under about eight ideas, the data is too thin to cluster honestly. Fall back to the single room with the ideas so far as seed material; do not cluster thin data because a deadline wants a report.</w:t>
      </w:r>
    </w:p>
    <w:p>
      <w:pPr>
        <w:pStyle w:val="KitBody"/>
        <w:numPr>
          <w:ilvl w:val="0"/>
          <w:numId w:val="2"/>
        </w:numPr>
        <w:spacing w:after="90"/>
      </w:pPr>
      <w:r>
        <w:rPr>
          <w:b/>
          <w:bCs/>
        </w:rPr>
        <w:t xml:space="preserve">Day 6, the closing hour.</w:t>
      </w:r>
      <w:r>
        <w:t xml:space="preserve"> 60 to 75 minutes, online or in person, with whoever returns: a third of contributors is a good hour. Reprise the commitments in two minutes, then run EMERGE, VALIDATE, ENRICH (basic, if time allows), and RESOLVE exactly as the single-room sections below describe from 0:35 on. Generate the synthesis the same day.</w:t>
      </w:r>
    </w:p>
    <w:p>
      <w:pPr>
        <w:pStyle w:val="KitBody"/>
        <w:numPr>
          <w:ilvl w:val="0"/>
          <w:numId w:val="2"/>
        </w:numPr>
        <w:spacing w:after="90"/>
      </w:pPr>
      <w:r>
        <w:rPr>
          <w:b/>
          <w:bCs/>
        </w:rPr>
        <w:t xml:space="preserve">Day 7.</w:t>
      </w:r>
      <w:r>
        <w:t xml:space="preserve"> The organization writes the citation paragraph into the application, using the worked example document.</w:t>
      </w:r>
    </w:p>
    <w:p>
      <w:pPr>
        <w:pStyle w:val="KitBody"/>
      </w:pPr>
      <w:r>
        <w:t xml:space="preserve">Ratification and Resolve cannot be skipped in the closing hour. An unratified report loses the sentence that makes it evidence: "participants reviewed and ratified every theme."</w:t>
      </w:r>
    </w:p>
    <w:p>
      <w:pPr>
        <w:pStyle w:val="KitH2"/>
      </w:pPr>
      <w:r>
        <w:t xml:space="preserve">Format B: the single room, step by step</w:t>
      </w:r>
    </w:p>
    <w:p>
      <w:pPr>
        <w:pStyle w:val="KitBody"/>
      </w:pPr>
      <w:r>
        <w:t xml:space="preserve">Timings assume 90 minutes; the session card carries the strip. ENRICH is the compressible step. EMERGE and VALIDATE are not: they are where the evidence is made.</w:t>
      </w:r>
    </w:p>
    <w:p>
      <w:pPr>
        <w:pStyle w:val="KitH3"/>
      </w:pPr>
      <w:r>
        <w:t xml:space="preserve">0:00 Welcome and commitments, 10 minutes</w:t>
      </w:r>
    </w:p>
    <w:p>
      <w:pPr>
        <w:pStyle w:val="KitBody"/>
      </w:pPr>
      <w:r>
        <w:t xml:space="preserve">Read the opening script, including the six commitments verbatim and the funding-application disclosure up front. While you talk, put the code and link on screen. If venue Wi-Fi saturates when thirty devices join at once, ask people to join in two waves.</w:t>
      </w:r>
    </w:p>
    <w:p>
      <w:pPr>
        <w:pStyle w:val="KitH3"/>
      </w:pPr>
      <w:r>
        <w:t xml:space="preserve">0:10 The question, 5 minutes</w:t>
      </w:r>
    </w:p>
    <w:p>
      <w:pPr>
        <w:pStyle w:val="KitBody"/>
      </w:pPr>
      <w:r>
        <w:t xml:space="preserve">Project the question, read it aloud, and ask the group whether it is the right question. You cannot edit the question text on this screen; if the group substantially rewords it, write the reworded version on chart paper, run on the platform's wording, and record both on your debrief form. Advance with "Go to Gather".</w:t>
      </w:r>
    </w:p>
    <w:p>
      <w:pPr>
        <w:pStyle w:val="KitH3"/>
      </w:pPr>
      <w:r>
        <w:t xml:space="preserve">0:15 GATHER, 20 minutes</w:t>
      </w:r>
    </w:p>
    <w:p>
      <w:pPr>
        <w:pStyle w:val="KitBody"/>
      </w:pPr>
      <w:r>
        <w:t xml:space="preserve">Silent entry. Your screen shows the counters and a live stream; participants see only their own entries, because the preset hides community ideas during gather. The room going quiet at three minutes is a permission problem, not an engagement problem: use the stall prompts in the question guide, then stop talking. Ninety seconds of silence produces ideas; a facilitator filling the gap does not.</w:t>
      </w:r>
    </w:p>
    <w:p>
      <w:pPr>
        <w:pStyle w:val="KitBody"/>
      </w:pPr>
      <w:r>
        <w:t xml:space="preserve">If an entry names a private individual or is abusive, hide it: the "..." menu on the idea's row in your facilitator view, then hide. Hidden ideas leave the working view and are excluded from the AI's clustering and analysis. Hiding is reversible by you and is not deletion; the escalation card gives you the words for the room. Below five ideas the platform shows a "Gathering in Progress" card and clustering is discouraged; if gather runs long, take the time here and trim ENRICH later. Gather is the raw material for everything downstream.</w:t>
      </w:r>
    </w:p>
    <w:p>
      <w:pPr>
        <w:pStyle w:val="KitH3"/>
      </w:pPr>
      <w:r>
        <w:t xml:space="preserve">0:35 EMERGE, 15 minutes: the section that matters most</w:t>
      </w:r>
    </w:p>
    <w:p>
      <w:pPr>
        <w:pStyle w:val="KitBody"/>
      </w:pPr>
      <w:r>
        <w:t xml:space="preserve">Project your screen. Do not do this step on a laptop by yourself: the correction is a group act, and the report's credibility comes from the room watching it happen.</w:t>
      </w:r>
    </w:p>
    <w:p>
      <w:pPr>
        <w:pStyle w:val="KitBody"/>
        <w:numPr>
          <w:ilvl w:val="0"/>
          <w:numId w:val="2"/>
        </w:numPr>
        <w:spacing w:after="90"/>
      </w:pPr>
      <w:r>
        <w:t xml:space="preserve">Press "Discover Patterns". It runs for 10 to 30 seconds on screen.</w:t>
      </w:r>
    </w:p>
    <w:p>
      <w:pPr>
        <w:pStyle w:val="KitBody"/>
        <w:numPr>
          <w:ilvl w:val="0"/>
          <w:numId w:val="2"/>
        </w:numPr>
        <w:spacing w:after="90"/>
      </w:pPr>
      <w:r>
        <w:t xml:space="preserve">Read every cluster name aloud and say that the AI drafted them. A grey "AI draft" pill sits on unratified names; the goal is that no pill survives the step.</w:t>
      </w:r>
    </w:p>
    <w:p>
      <w:pPr>
        <w:pStyle w:val="KitBody"/>
        <w:numPr>
          <w:ilvl w:val="0"/>
          <w:numId w:val="2"/>
        </w:numPr>
        <w:spacing w:after="90"/>
      </w:pPr>
      <w:r>
        <w:t xml:space="preserve">Expand each cluster and read the member ideas aloud, or have a participant do it. Ask: "What in this group does not belong here?"</w:t>
      </w:r>
    </w:p>
    <w:p>
      <w:pPr>
        <w:pStyle w:val="KitBody"/>
        <w:numPr>
          <w:ilvl w:val="0"/>
          <w:numId w:val="2"/>
        </w:numPr>
        <w:spacing w:after="90"/>
      </w:pPr>
      <w:r>
        <w:t xml:space="preserve">The AI groups by topic, not stance: "we need X" and "X is the wrong priority" often land together. When someone identifies a misfit, fix it live while they watch: the "..." menu on the idea's row moves it. Watch for the "Possible misfit" badge; the model flags its own doubts.</w:t>
      </w:r>
    </w:p>
    <w:p>
      <w:pPr>
        <w:pStyle w:val="KitBody"/>
        <w:numPr>
          <w:ilvl w:val="0"/>
          <w:numId w:val="2"/>
        </w:numPr>
        <w:spacing w:after="90"/>
      </w:pPr>
      <w:r>
        <w:t xml:space="preserve">Rename each cluster with the group: pencil icon in the pattern header, type, Enter saves. The ratified names are the words the application will quote, so let the room argue about them; the argument is the ratification.</w:t>
      </w:r>
    </w:p>
    <w:p>
      <w:pPr>
        <w:pStyle w:val="KitBody"/>
        <w:numPr>
          <w:ilvl w:val="0"/>
          <w:numId w:val="2"/>
        </w:numPr>
        <w:spacing w:after="90"/>
      </w:pPr>
      <w:r>
        <w:t xml:space="preserve">Check the coverage panel and read the unclustered ideas aloud. They stay in the report as open items, and in a needs assessment the unclustered idea is often the finding: the need nobody else had.</w:t>
      </w:r>
    </w:p>
    <w:p>
      <w:pPr>
        <w:pStyle w:val="KitBody"/>
      </w:pPr>
      <w:r>
        <w:t xml:space="preserve">"Re-discover Patterns" and "Regenerate clusters" destroy the group's corrections and any votes. The confirmation dialog tells you the truth: believe it. Once a single vote exists, never regenerate anything.</w:t>
      </w:r>
    </w:p>
    <w:p>
      <w:pPr>
        <w:pStyle w:val="KitH3"/>
      </w:pPr>
      <w:r>
        <w:t xml:space="preserve">0:50 VALIDATE, 15 minutes</w:t>
      </w:r>
    </w:p>
    <w:p>
      <w:pPr>
        <w:pStyle w:val="KitBody"/>
      </w:pPr>
      <w:r>
        <w:t xml:space="preserve">Before you can start, open the validation settings ("Configure" or "Review settings") and save once: "Start Validation" stays disabled until a settings row is saved, and "Skip Validation" sits right beside it, so slow down here. Participants vote on resonance blind, then see the aggregate, in an order shuffled per participant: say that aloud, it is why one loud voice cannot anchor the vote. The "Announce" button on this dashboard does nothing; announce with your voice. Comments must be 10 to 1000 characters, and shorter ones are rejected silently: tell the room to write full sentences. Read the "what's missing" comments aloud near the end; that is where the room tells you what the clusters could not. End with "End VALIDATE Phase", then continue.</w:t>
      </w:r>
    </w:p>
    <w:p>
      <w:pPr>
        <w:pStyle w:val="KitH3"/>
      </w:pPr>
      <w:r>
        <w:t xml:space="preserve">1:05 ENRICH, 10 minutes, droppable</w:t>
      </w:r>
    </w:p>
    <w:p>
      <w:pPr>
        <w:pStyle w:val="KitBody"/>
      </w:pPr>
      <w:r>
        <w:t xml:space="preserve">Choose Basic and run it: around 40 seconds, and the screen is honest about what it returns (suggested framings and literature leads, unverified until a human checks them). Say that aloud. If it fails, it now fails visibly with an error rather than silently reverting; move on without it. When you are behind schedule, this is the step you drop, whole.</w:t>
      </w:r>
    </w:p>
    <w:p>
      <w:pPr>
        <w:pStyle w:val="KitH3"/>
      </w:pPr>
      <w:r>
        <w:t xml:space="preserve">1:15 RESOLVE, 10 minutes</w:t>
      </w:r>
    </w:p>
    <w:p>
      <w:pPr>
        <w:pStyle w:val="KitBody"/>
      </w:pPr>
      <w:r>
        <w:t xml:space="preserve">Generate the synthesis from Session Overview, quick actions, "Generate Synthesis Report"; keep the page open for up to two minutes, and note that each run has a real cost, which the platform states on the confirmation panel. Participants then endorse or reserve on the synthesis from their own devices, and the report carries aggregate endorsement rates. Generate once: regenerating a synthesis that participants have endorsed orphans their endorsements.</w:t>
      </w:r>
    </w:p>
    <w:p>
      <w:pPr>
        <w:pStyle w:val="KitH3"/>
      </w:pPr>
      <w:r>
        <w:t xml:space="preserve">1:25 Close, 5 minutes</w:t>
      </w:r>
    </w:p>
    <w:p>
      <w:pPr>
        <w:pStyle w:val="KitBody"/>
      </w:pPr>
      <w:r>
        <w:t xml:space="preserve">Say three things and stop: how to get the report (from the results view on their own device, a form emails it to them, no account needed); how to delete their contributions (from the device they participated on tonight; it will not work from a different one); and what happens to the record (cited in the application as the group ratified it, including disagreement and open items).</w:t>
      </w:r>
    </w:p>
    <w:p>
      <w:pPr>
        <w:pStyle w:val="KitH2"/>
      </w:pPr>
      <w:r>
        <w:t xml:space="preserve">Handling difficult moments</w:t>
      </w:r>
    </w:p>
    <w:p>
      <w:pPr>
        <w:pStyle w:val="KitBody"/>
      </w:pPr>
      <w:r>
        <w:t xml:space="preserve">The escalation card carries the exact words for the eight situations this kit prepares for: fear of reprisal, staff explaining away a need, project campaigning, AI skepticism, the box-ticking challenge, deletion requests, the data question, and disclosure of harm or distress. Two notes belong in the guide rather than the card.</w:t>
      </w:r>
    </w:p>
    <w:p>
      <w:pPr>
        <w:pStyle w:val="KitBody"/>
      </w:pPr>
      <w:r>
        <w:rPr>
          <w:b/>
          <w:bCs/>
        </w:rPr>
        <w:t xml:space="preserve">Disclosure is expected here.</w:t>
      </w:r>
      <w:r>
        <w:t xml:space="preserve"> A room asked about unmet needs will sometimes produce an account of real hardship, aloud or in the stream. The card's script covers the moment; your preparation covers the rest: printed local crisis and support numbers on you, a plan for who holds the room if you step out, and the discipline never to let the session process a disclosure as content.</w:t>
      </w:r>
    </w:p>
    <w:p>
      <w:pPr>
        <w:pStyle w:val="KitBody"/>
      </w:pPr>
      <w:r>
        <w:rPr>
          <w:b/>
          <w:bCs/>
        </w:rPr>
        <w:t xml:space="preserve">Staff in the room change the data.</w:t>
      </w:r>
      <w:r>
        <w:t xml:space="preserve"> The strongest version of this kit runs without program staff present, and the guide's advice is to say so to the organization directly: participants who depend on services will not describe service failures in front of the people who run them, anonymity or not. Where staff must be present, they contribute through the platform like everyone else and do not respond aloud to anything.</w:t>
      </w:r>
    </w:p>
    <w:p>
      <w:pPr>
        <w:pStyle w:val="KitH2"/>
      </w:pPr>
      <w:r>
        <w:t xml:space="preserve">After the session</w:t>
      </w:r>
    </w:p>
    <w:p>
      <w:pPr>
        <w:pStyle w:val="KitBody"/>
      </w:pPr>
      <w:r>
        <w:t xml:space="preserve">Close the session from Session Overview using "Close Session", which confirms first. </w:t>
      </w:r>
      <w:r>
        <w:rPr>
          <w:b/>
          <w:bCs/>
        </w:rPr>
        <w:t xml:space="preserve">Never use "Complete This Round"</w:t>
      </w:r>
      <w:r>
        <w:t xml:space="preserve">: despite the label, it closes the entire session immediately.</w:t>
      </w:r>
    </w:p>
    <w:p>
      <w:pPr>
        <w:pStyle w:val="KitBody"/>
      </w:pPr>
      <w:r>
        <w:t xml:space="preserve">Report numbers from Session Analytics, not the overview tiles: the tiles show session-wide totals on round cards and an estimated participant count that will disagree with analytics. Any number that goes into an application comes from Session Analytics.</w:t>
      </w:r>
    </w:p>
    <w:p>
      <w:pPr>
        <w:pStyle w:val="KitBody"/>
      </w:pPr>
      <w:r>
        <w:t xml:space="preserve">Submit the debrief form within 24 hours. It feeds two records: programme quality, and the application file (the form's final section asks whether the application will cite the report and how the narrative handles any theme that cut against the project). Then hand the organization the citation-example document; the writing they do on day 7 is theirs, not yours, but the example keeps the claims inside what the report supports.</w:t>
      </w:r>
    </w:p>
    <w:p>
      <w:pPr>
        <w:pStyle w:val="KitH2"/>
      </w:pPr>
      <w:r>
        <w:t xml:space="preserve">What you must not do</w:t>
      </w:r>
    </w:p>
    <w:p>
      <w:pPr>
        <w:pStyle w:val="KitBody"/>
        <w:numPr>
          <w:ilvl w:val="0"/>
          <w:numId w:val="2"/>
        </w:numPr>
        <w:spacing w:after="90"/>
      </w:pPr>
      <w:r>
        <w:t xml:space="preserve">Never promise, imply, or let the organization imply that the session improves funding odds. The claim is documented need, not outcomes: both flagship programs state that meeting criteria does not guarantee funding.</w:t>
      </w:r>
    </w:p>
    <w:p>
      <w:pPr>
        <w:pStyle w:val="KitBody"/>
        <w:numPr>
          <w:ilvl w:val="0"/>
          <w:numId w:val="2"/>
        </w:numPr>
        <w:spacing w:after="90"/>
      </w:pPr>
      <w:r>
        <w:t xml:space="preserve">Never claim FCSS funding requires a needs assessment. That claim is unverified, and the organization should ask its local FCSS office what it actually requires.</w:t>
      </w:r>
    </w:p>
    <w:p>
      <w:pPr>
        <w:pStyle w:val="KitBody"/>
        <w:numPr>
          <w:ilvl w:val="0"/>
          <w:numId w:val="2"/>
        </w:numPr>
        <w:spacing w:after="90"/>
      </w:pPr>
      <w:r>
        <w:t xml:space="preserve">Never describe the session as a "research study" to organizations in the Calgary Foundation catchment: generic research is on that funder's ineligibility list. It is participatory needs identification.</w:t>
      </w:r>
    </w:p>
    <w:p>
      <w:pPr>
        <w:pStyle w:val="KitBody"/>
        <w:numPr>
          <w:ilvl w:val="0"/>
          <w:numId w:val="2"/>
        </w:numPr>
        <w:spacing w:after="90"/>
      </w:pPr>
      <w:r>
        <w:t xml:space="preserve">Never let an AI-drafted theme name stand as the group's conclusion without the group having a real chance to change it. The ratification is the evidence.</w:t>
      </w:r>
    </w:p>
    <w:p>
      <w:pPr>
        <w:pStyle w:val="KitBody"/>
        <w:numPr>
          <w:ilvl w:val="0"/>
          <w:numId w:val="2"/>
        </w:numPr>
        <w:spacing w:after="90"/>
      </w:pPr>
      <w:r>
        <w:t xml:space="preserve">Never unlock the preset's pinned settings, run a raffle, or collect participant emails for the session.</w:t>
      </w:r>
    </w:p>
    <w:p>
      <w:pPr>
        <w:pStyle w:val="KitBody"/>
        <w:numPr>
          <w:ilvl w:val="0"/>
          <w:numId w:val="2"/>
        </w:numPr>
        <w:spacing w:after="90"/>
      </w:pPr>
      <w:r>
        <w:t xml:space="preserve">Never overclaim on privacy. Logging covers a defined list of platform events, never what is said aloud. Deletion works from the device the participant used, not "from anywhere". Contact details are stripped before AI processing, but a name typed into an idea may remain. Anonymity means contributions cannot be linked to a participant's identity from stored data. Data is processed on US infrastructure, and you say so plainly.</w:t>
      </w:r>
    </w:p>
    <w:p>
      <w:pPr>
        <w:pStyle w:val="KitBody"/>
        <w:numPr>
          <w:ilvl w:val="0"/>
          <w:numId w:val="2"/>
        </w:numPr>
        <w:spacing w:after="90"/>
      </w:pPr>
      <w:r>
        <w:t xml:space="preserve">Never publish anything from the session yourself. The report goes to the organization, which cites it as generated; participants get it from their own devices.</w:t>
      </w:r>
    </w:p>
    <w:p>
      <w:pPr>
        <w:pStyle w:val="KitBody"/>
      </w:pPr>
      <w:r>
        <w:t xml:space="preserve">If in doubt about a piece of content, a claim you are about to make, or whether to keep going at all, stop and check with the organization's named contact before proceeding. Pausing a session costs little. A room that stops trusting the process, or a funder that stops trusting the record, costs everything.</w:t>
      </w:r>
    </w:p>
    <w:p>
      <w:pPr>
        <w:pStyle w:val="KitMuted"/>
      </w:pPr>
      <w:r>
        <w:t xml:space="preserve">The Grant-Season Community Input Kit. ideajar.ai/resources. August 2026. Event packs are facilitation resources. IdeaJar takes no position on the underlying question.</w:t>
      </w:r>
    </w:p>
    <w:sectPr>
      <w:pgSz w:w="12240" w:h="15840" w:orient="portrait"/>
      <w:pgMar w:top="1260" w:right="1350" w:bottom="126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12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KitTitle">
    <w:name w:val="KitTitle"/>
    <w:basedOn w:val="Normal"/>
    <w:pPr>
      <w:spacing w:after="80"/>
    </w:pPr>
    <w:rPr>
      <w:rFonts w:ascii="Georgia" w:cs="Georgia" w:eastAsia="Georgia" w:hAnsi="Georgia"/>
      <w:b/>
      <w:bCs/>
      <w:color w:val="33312C"/>
      <w:sz w:val="44"/>
      <w:szCs w:val="44"/>
    </w:rPr>
  </w:style>
  <w:style w:type="paragraph" w:styleId="KitSubtitle">
    <w:name w:val="KitSubtitle"/>
    <w:basedOn w:val="Normal"/>
    <w:pPr>
      <w:spacing w:after="260"/>
    </w:pPr>
    <w:rPr>
      <w:rFonts w:ascii="Georgia" w:cs="Georgia" w:eastAsia="Georgia" w:hAnsi="Georgia"/>
      <w:i/>
      <w:iCs/>
      <w:color w:val="7D6B5D"/>
      <w:sz w:val="24"/>
      <w:szCs w:val="24"/>
    </w:rPr>
  </w:style>
  <w:style w:type="paragraph" w:styleId="KitH2">
    <w:name w:val="KitH2"/>
    <w:basedOn w:val="Normal"/>
    <w:next w:val="Normal"/>
    <w:pPr>
      <w:pBdr>
        <w:bottom w:val="single" w:color="D8D2C4" w:sz="4" w:space="4"/>
      </w:pBdr>
      <w:spacing w:after="140" w:before="340"/>
      <w:outlineLvl w:val="0"/>
    </w:pPr>
    <w:rPr>
      <w:rFonts w:ascii="Georgia" w:cs="Georgia" w:eastAsia="Georgia" w:hAnsi="Georgia"/>
      <w:b/>
      <w:bCs/>
      <w:color w:val="5F7256"/>
      <w:sz w:val="28"/>
      <w:szCs w:val="28"/>
    </w:rPr>
  </w:style>
  <w:style w:type="paragraph" w:styleId="KitH3">
    <w:name w:val="KitH3"/>
    <w:basedOn w:val="Normal"/>
    <w:next w:val="Normal"/>
    <w:pPr>
      <w:spacing w:after="100" w:before="240"/>
      <w:outlineLvl w:val="1"/>
    </w:pPr>
    <w:rPr>
      <w:rFonts w:ascii="Georgia" w:cs="Georgia" w:eastAsia="Georgia" w:hAnsi="Georgia"/>
      <w:b/>
      <w:bCs/>
      <w:color w:val="7D6B5D"/>
      <w:sz w:val="23"/>
      <w:szCs w:val="23"/>
    </w:rPr>
  </w:style>
  <w:style w:type="paragraph" w:styleId="KitBody">
    <w:name w:val="KitBody"/>
    <w:basedOn w:val="Normal"/>
    <w:pPr>
      <w:spacing w:after="140" w:line="288"/>
    </w:pPr>
    <w:rPr>
      <w:rFonts w:ascii="Georgia" w:cs="Georgia" w:eastAsia="Georgia" w:hAnsi="Georgia"/>
      <w:color w:val="33312C"/>
      <w:sz w:val="21"/>
      <w:szCs w:val="21"/>
    </w:rPr>
  </w:style>
  <w:style w:type="paragraph" w:styleId="KitVerbatim">
    <w:name w:val="KitVerbatim"/>
    <w:basedOn w:val="Normal"/>
    <w:pPr>
      <w:pBdr>
        <w:left w:val="single" w:color="5F7256" w:sz="12" w:space="8"/>
      </w:pBdr>
      <w:shd w:fill="F5F1E8" w:val="clear"/>
      <w:spacing w:after="140" w:line="288"/>
      <w:ind w:left="400"/>
    </w:pPr>
    <w:rPr>
      <w:rFonts w:ascii="Georgia" w:cs="Georgia" w:eastAsia="Georgia" w:hAnsi="Georgia"/>
      <w:color w:val="33312C"/>
      <w:sz w:val="21"/>
      <w:szCs w:val="21"/>
    </w:rPr>
  </w:style>
  <w:style w:type="paragraph" w:styleId="KitMuted">
    <w:name w:val="KitMuted"/>
    <w:basedOn w:val="Normal"/>
    <w:pPr>
      <w:spacing w:after="0" w:before="300"/>
    </w:pPr>
    <w:rPr>
      <w:rFonts w:ascii="Georgia" w:cs="Georgia" w:eastAsia="Georgia" w:hAnsi="Georgia"/>
      <w:color w:val="8A8578"/>
      <w:sz w:val="17"/>
      <w:szCs w:val="1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2026-08-05T16:12:41.927Z</dcterms:created>
  <dcterms:modified xsi:type="dcterms:W3CDTF">2026-08-05T16:12:41.927Z</dcterms:modified>
</cp:coreProperties>
</file>

<file path=docProps/custom.xml><?xml version="1.0" encoding="utf-8"?>
<Properties xmlns="http://schemas.openxmlformats.org/officeDocument/2006/custom-properties" xmlns:vt="http://schemas.openxmlformats.org/officeDocument/2006/docPropsVTypes"/>
</file>