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Answer "What is the identified community need?" with data</w:t>
      </w:r>
    </w:p>
    <w:p>
      <w:pPr>
        <w:pStyle w:val="KitSubtitle"/>
      </w:pPr>
      <w:r>
        <w:t xml:space="preserve">The Grant-Season Community Input Kit, for executive directors and grant writers</w:t>
      </w:r>
    </w:p>
    <w:p>
      <w:pPr>
        <w:pStyle w:val="KitBody"/>
      </w:pPr>
      <w:r>
        <w:rPr>
          <w:b/>
          <w:bCs/>
        </w:rPr>
        <w:t xml:space="preserve">Why now.</w:t>
      </w:r>
      <w:r>
        <w:t xml:space="preserve"> Alberta's two flagship community programs condition eligibility on community input, in identical words: "Projects must address a community-identified need and demonstrate community involvement" (CIP Project guidelines 4.1; CFEP Small guidelines 4.1.1). The CIP guidelines name acceptable evidence: confirmed community support "via data on the community needs" or letters of support. The CFEP application asks directly: "12a. What is the identified community need?" A letter of support attests that a partner endorses your project. It does not document that community members identified the need. The funder's own wording treats data as the stronger category, and nothing in the guidelines specifies how you collect it.</w:t>
      </w:r>
    </w:p>
    <w:p>
      <w:pPr>
        <w:pStyle w:val="KitBody"/>
      </w:pPr>
      <w:r>
        <w:rPr>
          <w:b/>
          <w:bCs/>
        </w:rPr>
        <w:t xml:space="preserve">What this kit is.</w:t>
      </w:r>
      <w:r>
        <w:t xml:space="preserve"> A complete set of facilitation materials for running one structured, anonymous community session and attaching its report to your application. Participants contribute ideas anonymously, an AI drafts the themes, and participants themselves rename, correct, and ratify every theme, then vote on how strongly each one resonates. The output is a synthesis report: theme names in the community's own accepted words, vote tallies with denominators, verbatim quotes, and a process record showing every AI-drafted and facilitator action. That is "data on the community needs," produced in days rather than months.</w:t>
      </w:r>
    </w:p>
    <w:p>
      <w:pPr>
        <w:pStyle w:val="KitH2"/>
      </w:pPr>
      <w:r>
        <w:t xml:space="preserve">Two formats</w:t>
      </w:r>
    </w:p>
    <w:p>
      <w:pPr>
        <w:pStyle w:val="KitBody"/>
        <w:numPr>
          <w:ilvl w:val="0"/>
          <w:numId w:val="2"/>
        </w:numPr>
        <w:spacing w:after="90"/>
      </w:pPr>
      <w:r>
        <w:rPr>
          <w:b/>
          <w:bCs/>
        </w:rPr>
        <w:t xml:space="preserve">The async week.</w:t>
      </w:r>
      <w:r>
        <w:t xml:space="preserve"> One session held open for five days through an anonymous link you share through your newsletter and socials, then a 60 to 75 minute closing hour where participants ratify the themes and vote. About three hours of staff attention in total.</w:t>
      </w:r>
    </w:p>
    <w:p>
      <w:pPr>
        <w:pStyle w:val="KitBody"/>
        <w:numPr>
          <w:ilvl w:val="0"/>
          <w:numId w:val="2"/>
        </w:numPr>
        <w:spacing w:after="90"/>
      </w:pPr>
      <w:r>
        <w:rPr>
          <w:b/>
          <w:bCs/>
        </w:rPr>
        <w:t xml:space="preserve">The single room.</w:t>
      </w:r>
      <w:r>
        <w:t xml:space="preserve"> One 75 to 90 minute live session for organizations that can convene: before a board meeting, at a program night, after a service. Run one room per priority population and compile afterward.</w:t>
      </w:r>
    </w:p>
    <w:p>
      <w:pPr>
        <w:pStyle w:val="KitH2"/>
      </w:pPr>
      <w:r>
        <w:t xml:space="preserve">Why the evidence holds up</w:t>
      </w:r>
    </w:p>
    <w:p>
      <w:pPr>
        <w:pStyle w:val="KitBody"/>
        <w:numPr>
          <w:ilvl w:val="0"/>
          <w:numId w:val="2"/>
        </w:numPr>
        <w:spacing w:after="90"/>
      </w:pPr>
      <w:r>
        <w:t xml:space="preserve">The AI drafts; the community decides. Every theme name is reviewed and ratified by participants before it enters the report, so the evidence is participant-generated with AI-assisted analysis, and the process record proves it.</w:t>
      </w:r>
    </w:p>
    <w:p>
      <w:pPr>
        <w:pStyle w:val="KitBody"/>
        <w:numPr>
          <w:ilvl w:val="0"/>
          <w:numId w:val="2"/>
        </w:numPr>
        <w:spacing w:after="90"/>
      </w:pPr>
      <w:r>
        <w:t xml:space="preserve">Numbers carry denominators. "14 of 23 participants" survives a skeptical reviewer; "strong support" does not.</w:t>
      </w:r>
    </w:p>
    <w:p>
      <w:pPr>
        <w:pStyle w:val="KitBody"/>
        <w:numPr>
          <w:ilvl w:val="0"/>
          <w:numId w:val="2"/>
        </w:numPr>
        <w:spacing w:after="90"/>
      </w:pPr>
      <w:r>
        <w:t xml:space="preserve">Disagreement is published. The report includes what did not fit and what participants reserved on, which is exactly what makes the rest credible.</w:t>
      </w:r>
    </w:p>
    <w:p>
      <w:pPr>
        <w:pStyle w:val="KitBody"/>
        <w:numPr>
          <w:ilvl w:val="0"/>
          <w:numId w:val="2"/>
        </w:numPr>
        <w:spacing w:after="90"/>
      </w:pPr>
      <w:r>
        <w:t xml:space="preserve">Anonymity is structural. People describing unmet needs and hardship contribute without names, so the record reflects what people actually face rather than what they will say in front of staff.</w:t>
      </w:r>
    </w:p>
    <w:p>
      <w:pPr>
        <w:pStyle w:val="KitH2"/>
      </w:pPr>
      <w:r>
        <w:t xml:space="preserve">The fall 2026 window</w:t>
      </w:r>
    </w:p>
    <w:tbl>
      <w:tblPr>
        <w:tblW w:type="dxa" w:w="9540"/>
        <w:tblBorders>
          <w:top w:val="single" w:color="auto" w:sz="4"/>
          <w:left w:val="single" w:color="auto" w:sz="4"/>
          <w:bottom w:val="single" w:color="auto" w:sz="4"/>
          <w:right w:val="single" w:color="auto" w:sz="4"/>
          <w:insideH w:val="single" w:color="auto" w:sz="4"/>
          <w:insideV w:val="single" w:color="auto" w:sz="4"/>
        </w:tblBorders>
      </w:tblPr>
      <w:tblGrid>
        <w:gridCol w:w="4340"/>
        <w:gridCol w:w="2600"/>
        <w:gridCol w:w="2600"/>
      </w:tblGrid>
      <w:tr>
        <w:tc>
          <w:tcPr>
            <w:tcW w:type="dxa" w:w="4340"/>
            <w:shd w:fill="F5F1E8" w:val="clear"/>
            <w:tcMar>
              <w:top w:type="dxa" w:w="70"/>
              <w:left w:type="dxa" w:w="110"/>
              <w:bottom w:type="dxa" w:w="70"/>
              <w:right w:type="dxa" w:w="110"/>
            </w:tcMar>
          </w:tcPr>
          <w:p>
            <w:pPr>
              <w:pStyle w:val="KitBody"/>
              <w:spacing w:after="0"/>
            </w:pPr>
            <w:r>
              <w:rPr>
                <w:b/>
                <w:bCs/>
              </w:rPr>
              <w:t xml:space="preserve">Deadline</w:t>
            </w:r>
          </w:p>
        </w:tc>
        <w:tc>
          <w:tcPr>
            <w:tcW w:type="dxa" w:w="2600"/>
            <w:shd w:fill="F5F1E8" w:val="clear"/>
            <w:tcMar>
              <w:top w:type="dxa" w:w="70"/>
              <w:left w:type="dxa" w:w="110"/>
              <w:bottom w:type="dxa" w:w="70"/>
              <w:right w:type="dxa" w:w="110"/>
            </w:tcMar>
          </w:tcPr>
          <w:p>
            <w:pPr>
              <w:pStyle w:val="KitBody"/>
              <w:spacing w:after="0"/>
            </w:pPr>
            <w:r>
              <w:rPr>
                <w:b/>
                <w:bCs/>
              </w:rPr>
              <w:t xml:space="preserve">Latest async-week start</w:t>
            </w:r>
          </w:p>
        </w:tc>
        <w:tc>
          <w:tcPr>
            <w:tcW w:type="dxa" w:w="2600"/>
            <w:shd w:fill="F5F1E8" w:val="clear"/>
            <w:tcMar>
              <w:top w:type="dxa" w:w="70"/>
              <w:left w:type="dxa" w:w="110"/>
              <w:bottom w:type="dxa" w:w="70"/>
              <w:right w:type="dxa" w:w="110"/>
            </w:tcMar>
          </w:tcPr>
          <w:p>
            <w:pPr>
              <w:pStyle w:val="KitBody"/>
              <w:spacing w:after="0"/>
            </w:pPr>
            <w:r>
              <w:rPr>
                <w:b/>
                <w:bCs/>
              </w:rPr>
              <w:t xml:space="preserve">Latest single-room session</w:t>
            </w:r>
          </w:p>
        </w:tc>
      </w:tr>
      <w:tr>
        <w:tc>
          <w:tcPr>
            <w:tcW w:type="dxa" w:w="4340"/>
            <w:tcMar>
              <w:top w:type="dxa" w:w="70"/>
              <w:left w:type="dxa" w:w="110"/>
              <w:bottom w:type="dxa" w:w="70"/>
              <w:right w:type="dxa" w:w="110"/>
            </w:tcMar>
          </w:tcPr>
          <w:p>
            <w:pPr>
              <w:pStyle w:val="KitBody"/>
              <w:spacing w:after="0"/>
            </w:pPr>
            <w:r>
              <w:t xml:space="preserve">ECF Community Grants Stage 1, Sept 11 noon</w:t>
            </w:r>
          </w:p>
        </w:tc>
        <w:tc>
          <w:tcPr>
            <w:tcW w:type="dxa" w:w="2600"/>
            <w:tcMar>
              <w:top w:type="dxa" w:w="70"/>
              <w:left w:type="dxa" w:w="110"/>
              <w:bottom w:type="dxa" w:w="70"/>
              <w:right w:type="dxa" w:w="110"/>
            </w:tcMar>
          </w:tcPr>
          <w:p>
            <w:pPr>
              <w:pStyle w:val="KitBody"/>
              <w:spacing w:after="0"/>
            </w:pPr>
            <w:r>
              <w:t xml:space="preserve">Aug 29</w:t>
            </w:r>
          </w:p>
        </w:tc>
        <w:tc>
          <w:tcPr>
            <w:tcW w:type="dxa" w:w="2600"/>
            <w:tcMar>
              <w:top w:type="dxa" w:w="70"/>
              <w:left w:type="dxa" w:w="110"/>
              <w:bottom w:type="dxa" w:w="70"/>
              <w:right w:type="dxa" w:w="110"/>
            </w:tcMar>
          </w:tcPr>
          <w:p>
            <w:pPr>
              <w:pStyle w:val="KitBody"/>
              <w:spacing w:after="0"/>
            </w:pPr>
            <w:r>
              <w:t xml:space="preserve">Sept 7</w:t>
            </w:r>
          </w:p>
        </w:tc>
      </w:tr>
      <w:tr>
        <w:tc>
          <w:tcPr>
            <w:tcW w:type="dxa" w:w="4340"/>
            <w:tcMar>
              <w:top w:type="dxa" w:w="70"/>
              <w:left w:type="dxa" w:w="110"/>
              <w:bottom w:type="dxa" w:w="70"/>
              <w:right w:type="dxa" w:w="110"/>
            </w:tcMar>
          </w:tcPr>
          <w:p>
            <w:pPr>
              <w:pStyle w:val="KitBody"/>
              <w:spacing w:after="0"/>
            </w:pPr>
            <w:r>
              <w:t xml:space="preserve">Beltline CIF (Calgary) LOI, Sept 14</w:t>
            </w:r>
          </w:p>
        </w:tc>
        <w:tc>
          <w:tcPr>
            <w:tcW w:type="dxa" w:w="2600"/>
            <w:tcMar>
              <w:top w:type="dxa" w:w="70"/>
              <w:left w:type="dxa" w:w="110"/>
              <w:bottom w:type="dxa" w:w="70"/>
              <w:right w:type="dxa" w:w="110"/>
            </w:tcMar>
          </w:tcPr>
          <w:p>
            <w:pPr>
              <w:pStyle w:val="KitBody"/>
              <w:spacing w:after="0"/>
            </w:pPr>
            <w:r>
              <w:t xml:space="preserve">Sept 1</w:t>
            </w:r>
          </w:p>
        </w:tc>
        <w:tc>
          <w:tcPr>
            <w:tcW w:type="dxa" w:w="2600"/>
            <w:tcMar>
              <w:top w:type="dxa" w:w="70"/>
              <w:left w:type="dxa" w:w="110"/>
              <w:bottom w:type="dxa" w:w="70"/>
              <w:right w:type="dxa" w:w="110"/>
            </w:tcMar>
          </w:tcPr>
          <w:p>
            <w:pPr>
              <w:pStyle w:val="KitBody"/>
              <w:spacing w:after="0"/>
            </w:pPr>
            <w:r>
              <w:t xml:space="preserve">Sept 10</w:t>
            </w:r>
          </w:p>
        </w:tc>
      </w:tr>
      <w:tr>
        <w:tc>
          <w:tcPr>
            <w:tcW w:type="dxa" w:w="4340"/>
            <w:tcMar>
              <w:top w:type="dxa" w:w="70"/>
              <w:left w:type="dxa" w:w="110"/>
              <w:bottom w:type="dxa" w:w="70"/>
              <w:right w:type="dxa" w:w="110"/>
            </w:tcMar>
          </w:tcPr>
          <w:p>
            <w:pPr>
              <w:pStyle w:val="KitBody"/>
              <w:spacing w:after="0"/>
            </w:pPr>
            <w:r>
              <w:t xml:space="preserve">Alberta CFEP Small, Sept 15</w:t>
            </w:r>
          </w:p>
        </w:tc>
        <w:tc>
          <w:tcPr>
            <w:tcW w:type="dxa" w:w="2600"/>
            <w:tcMar>
              <w:top w:type="dxa" w:w="70"/>
              <w:left w:type="dxa" w:w="110"/>
              <w:bottom w:type="dxa" w:w="70"/>
              <w:right w:type="dxa" w:w="110"/>
            </w:tcMar>
          </w:tcPr>
          <w:p>
            <w:pPr>
              <w:pStyle w:val="KitBody"/>
              <w:spacing w:after="0"/>
            </w:pPr>
            <w:r>
              <w:t xml:space="preserve">Sept 2</w:t>
            </w:r>
          </w:p>
        </w:tc>
        <w:tc>
          <w:tcPr>
            <w:tcW w:type="dxa" w:w="2600"/>
            <w:tcMar>
              <w:top w:type="dxa" w:w="70"/>
              <w:left w:type="dxa" w:w="110"/>
              <w:bottom w:type="dxa" w:w="70"/>
              <w:right w:type="dxa" w:w="110"/>
            </w:tcMar>
          </w:tcPr>
          <w:p>
            <w:pPr>
              <w:pStyle w:val="KitBody"/>
              <w:spacing w:after="0"/>
            </w:pPr>
            <w:r>
              <w:t xml:space="preserve">Sept 11</w:t>
            </w:r>
          </w:p>
        </w:tc>
      </w:tr>
      <w:tr>
        <w:tc>
          <w:tcPr>
            <w:tcW w:type="dxa" w:w="4340"/>
            <w:tcMar>
              <w:top w:type="dxa" w:w="70"/>
              <w:left w:type="dxa" w:w="110"/>
              <w:bottom w:type="dxa" w:w="70"/>
              <w:right w:type="dxa" w:w="110"/>
            </w:tcMar>
          </w:tcPr>
          <w:p>
            <w:pPr>
              <w:pStyle w:val="KitBody"/>
              <w:spacing w:after="0"/>
            </w:pPr>
            <w:r>
              <w:t xml:space="preserve">Alberta CIP Org Development, Oct 15</w:t>
            </w:r>
          </w:p>
        </w:tc>
        <w:tc>
          <w:tcPr>
            <w:tcW w:type="dxa" w:w="2600"/>
            <w:tcMar>
              <w:top w:type="dxa" w:w="70"/>
              <w:left w:type="dxa" w:w="110"/>
              <w:bottom w:type="dxa" w:w="70"/>
              <w:right w:type="dxa" w:w="110"/>
            </w:tcMar>
          </w:tcPr>
          <w:p>
            <w:pPr>
              <w:pStyle w:val="KitBody"/>
              <w:spacing w:after="0"/>
            </w:pPr>
            <w:r>
              <w:t xml:space="preserve">Oct 1</w:t>
            </w:r>
          </w:p>
        </w:tc>
        <w:tc>
          <w:tcPr>
            <w:tcW w:type="dxa" w:w="2600"/>
            <w:tcMar>
              <w:top w:type="dxa" w:w="70"/>
              <w:left w:type="dxa" w:w="110"/>
              <w:bottom w:type="dxa" w:w="70"/>
              <w:right w:type="dxa" w:w="110"/>
            </w:tcMar>
          </w:tcPr>
          <w:p>
            <w:pPr>
              <w:pStyle w:val="KitBody"/>
              <w:spacing w:after="0"/>
            </w:pPr>
            <w:r>
              <w:t xml:space="preserve">Oct 11</w:t>
            </w:r>
          </w:p>
        </w:tc>
      </w:tr>
      <w:tr>
        <w:tc>
          <w:tcPr>
            <w:tcW w:type="dxa" w:w="4340"/>
            <w:tcMar>
              <w:top w:type="dxa" w:w="70"/>
              <w:left w:type="dxa" w:w="110"/>
              <w:bottom w:type="dxa" w:w="70"/>
              <w:right w:type="dxa" w:w="110"/>
            </w:tcMar>
          </w:tcPr>
          <w:p>
            <w:pPr>
              <w:pStyle w:val="KitBody"/>
              <w:spacing w:after="0"/>
            </w:pPr>
            <w:r>
              <w:t xml:space="preserve">ECF Community Grants Stage 2, Oct 30 noon</w:t>
            </w:r>
          </w:p>
        </w:tc>
        <w:tc>
          <w:tcPr>
            <w:tcW w:type="dxa" w:w="2600"/>
            <w:tcMar>
              <w:top w:type="dxa" w:w="70"/>
              <w:left w:type="dxa" w:w="110"/>
              <w:bottom w:type="dxa" w:w="70"/>
              <w:right w:type="dxa" w:w="110"/>
            </w:tcMar>
          </w:tcPr>
          <w:p>
            <w:pPr>
              <w:pStyle w:val="KitBody"/>
              <w:spacing w:after="0"/>
            </w:pPr>
            <w:r>
              <w:t xml:space="preserve">Oct 16</w:t>
            </w:r>
          </w:p>
        </w:tc>
        <w:tc>
          <w:tcPr>
            <w:tcW w:type="dxa" w:w="2600"/>
            <w:tcMar>
              <w:top w:type="dxa" w:w="70"/>
              <w:left w:type="dxa" w:w="110"/>
              <w:bottom w:type="dxa" w:w="70"/>
              <w:right w:type="dxa" w:w="110"/>
            </w:tcMar>
          </w:tcPr>
          <w:p>
            <w:pPr>
              <w:pStyle w:val="KitBody"/>
              <w:spacing w:after="0"/>
            </w:pPr>
            <w:r>
              <w:t xml:space="preserve">Oct 26</w:t>
            </w:r>
          </w:p>
        </w:tc>
      </w:tr>
      <w:tr>
        <w:tc>
          <w:tcPr>
            <w:tcW w:type="dxa" w:w="4340"/>
            <w:tcMar>
              <w:top w:type="dxa" w:w="70"/>
              <w:left w:type="dxa" w:w="110"/>
              <w:bottom w:type="dxa" w:w="70"/>
              <w:right w:type="dxa" w:w="110"/>
            </w:tcMar>
          </w:tcPr>
          <w:p>
            <w:pPr>
              <w:pStyle w:val="KitBody"/>
              <w:spacing w:after="0"/>
            </w:pPr>
            <w:r>
              <w:t xml:space="preserve">Alberta CIP Project, Feb 15 2027</w:t>
            </w:r>
          </w:p>
        </w:tc>
        <w:tc>
          <w:tcPr>
            <w:tcW w:type="dxa" w:w="2600"/>
            <w:tcMar>
              <w:top w:type="dxa" w:w="70"/>
              <w:left w:type="dxa" w:w="110"/>
              <w:bottom w:type="dxa" w:w="70"/>
              <w:right w:type="dxa" w:w="110"/>
            </w:tcMar>
          </w:tcPr>
          <w:p>
            <w:pPr>
              <w:pStyle w:val="KitBody"/>
              <w:spacing w:after="0"/>
            </w:pPr>
            <w:r>
              <w:t xml:space="preserve">Jan 29, 2027</w:t>
            </w:r>
          </w:p>
        </w:tc>
        <w:tc>
          <w:tcPr>
            <w:tcW w:type="dxa" w:w="2600"/>
            <w:tcMar>
              <w:top w:type="dxa" w:w="70"/>
              <w:left w:type="dxa" w:w="110"/>
              <w:bottom w:type="dxa" w:w="70"/>
              <w:right w:type="dxa" w:w="110"/>
            </w:tcMar>
          </w:tcPr>
          <w:p>
            <w:pPr>
              <w:pStyle w:val="KitBody"/>
              <w:spacing w:after="0"/>
            </w:pPr>
            <w:r>
              <w:t xml:space="preserve">Feb 11, 2027</w:t>
            </w:r>
          </w:p>
        </w:tc>
      </w:tr>
    </w:tbl>
    <w:p>
      <w:pPr>
        <w:pStyle w:val="KitBody"/>
        <w:spacing w:after="60"/>
      </w:pPr>
    </w:p>
    <w:p>
      <w:pPr>
        <w:pStyle w:val="KitBody"/>
      </w:pPr>
      <w:r>
        <w:t xml:space="preserve">Deadlines verified August 5, 2026 against program pages. If your deadline is inside two weeks, use the single room or aim at the next intake: the February CIP window rewards a session run well over one run fast.</w:t>
      </w:r>
    </w:p>
    <w:p>
      <w:pPr>
        <w:pStyle w:val="KitH2"/>
      </w:pPr>
      <w:r>
        <w:t xml:space="preserve">What it costs</w:t>
      </w:r>
    </w:p>
    <w:p>
      <w:pPr>
        <w:pStyle w:val="KitBody"/>
      </w:pPr>
      <w:r>
        <w:t xml:space="preserve">The platform is free during the current beta. After beta, a session room is $249. The kit itself is free and stays free. Start at </w:t>
      </w:r>
      <w:r>
        <w:rPr>
          <w:b/>
          <w:bCs/>
        </w:rPr>
        <w:t xml:space="preserve">ideajar.ai/resources</w:t>
      </w:r>
      <w:r>
        <w:t xml:space="preserve">, or request access at </w:t>
      </w:r>
      <w:r>
        <w:rPr>
          <w:b/>
          <w:bCs/>
        </w:rPr>
        <w:t xml:space="preserve">ideajar.ai/request-beta</w:t>
      </w:r>
      <w:r>
        <w:t xml:space="preserve">.</w:t>
      </w:r>
    </w:p>
    <w:p>
      <w:pPr>
        <w:pStyle w:val="KitH2"/>
      </w:pPr>
      <w:r>
        <w:t xml:space="preserve">The fine print, stated plainly</w:t>
      </w:r>
    </w:p>
    <w:p>
      <w:pPr>
        <w:pStyle w:val="KitBody"/>
        <w:numPr>
          <w:ilvl w:val="0"/>
          <w:numId w:val="2"/>
        </w:numPr>
        <w:spacing w:after="90"/>
      </w:pPr>
      <w:r>
        <w:t xml:space="preserve">Meeting a program's criteria does not guarantee funding, and neither does this method. The claim is better evidence, not better odds.</w:t>
      </w:r>
    </w:p>
    <w:p>
      <w:pPr>
        <w:pStyle w:val="KitBody"/>
        <w:numPr>
          <w:ilvl w:val="0"/>
          <w:numId w:val="2"/>
        </w:numPr>
        <w:spacing w:after="90"/>
      </w:pPr>
      <w:r>
        <w:t xml:space="preserve">Participant data is processed on infrastructure in the United States. Participants are told this at the start of every session.</w:t>
      </w:r>
    </w:p>
    <w:p>
      <w:pPr>
        <w:pStyle w:val="KitBody"/>
        <w:numPr>
          <w:ilvl w:val="0"/>
          <w:numId w:val="2"/>
        </w:numPr>
        <w:spacing w:after="90"/>
      </w:pPr>
      <w:r>
        <w:t xml:space="preserve">Participants join anonymously, no account and no email required, and can delete their contributions from the device they used.</w:t>
      </w:r>
    </w:p>
    <w:p>
      <w:pPr>
        <w:pStyle w:val="KitBody"/>
        <w:numPr>
          <w:ilvl w:val="0"/>
          <w:numId w:val="2"/>
        </w:numPr>
        <w:spacing w:after="90"/>
      </w:pPr>
      <w:r>
        <w:t xml:space="preserve">In the Calgary Foundation catchment, describe this work as participatory needs identification. Generic research studies are on that funder's ineligibility list; participatory approaches are not.</w:t>
      </w:r>
    </w:p>
    <w:p>
      <w:pPr>
        <w:pStyle w:val="KitMuted"/>
      </w:pPr>
      <w:r>
        <w:t xml:space="preserve">The Grant-Season Community Input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2026-08-05T16:12:42.200Z</dcterms:created>
  <dcterms:modified xsi:type="dcterms:W3CDTF">2026-08-05T16:12:42.201Z</dcterms:modified>
</cp:coreProperties>
</file>

<file path=docProps/custom.xml><?xml version="1.0" encoding="utf-8"?>
<Properties xmlns="http://schemas.openxmlformats.org/officeDocument/2006/custom-properties" xmlns:vt="http://schemas.openxmlformats.org/officeDocument/2006/docPropsVTypes"/>
</file>