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tTitle"/>
      </w:pPr>
      <w:r>
        <w:t xml:space="preserve">Session Card</w:t>
      </w:r>
    </w:p>
    <w:p>
      <w:pPr>
        <w:pStyle w:val="KitSubtitle"/>
      </w:pPr>
      <w:r>
        <w:t xml:space="preserve">Keep this beside the laptop</w:t>
      </w:r>
    </w:p>
    <w:p>
      <w:pPr>
        <w:pStyle w:val="KitBody"/>
      </w:pPr>
      <w:r>
        <w:t xml:space="preserve">Timings are for the single room (Format B). For the async week's closing hour, start at 0:35 EMERGE and use the opening script's short reprise first.</w:t>
      </w:r>
    </w:p>
    <w:p>
      <w:pPr>
        <w:pStyle w:val="KitH2"/>
      </w:pPr>
      <w:r>
        <w:t xml:space="preserve">Timing strip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0:00 Welcome, ten minutes.</w:t>
      </w:r>
      <w:r>
        <w:t xml:space="preserve"> Script order: what this is and what it is for (the funding-application disclosure happens HERE, not later), how to join, the six commitments, privacy, how the AI is used, ground rules. Read the code aloud twice; project the join link you copied from the session-created page, never the QR from the Share card. Say plainly that data is processed on infrastructure in the United States.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0:10 THE QUESTION.</w:t>
      </w:r>
      <w:r>
        <w:t xml:space="preserve"> Project it, read it aloud, gut-check it with the room. It never names the planned project.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0:15 GATHER.</w:t>
      </w:r>
      <w:r>
        <w:t xml:space="preserve"> Silent entry, blind: nobody sees others' ideas while contributing (the preset pins this). Watch the counter. Do not advance under five ideas; under eight, consider whether tonight's data can honestly be clustered at all.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0:35 EMERGE.</w:t>
      </w:r>
      <w:r>
        <w:t xml:space="preserve"> Project the patterns. The group renames, corrects membership, and reads the unclustered aloud. Never re-run clustering after votes exist.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0:50 VALIDATE.</w:t>
      </w:r>
      <w:r>
        <w:t xml:space="preserve"> Open the validation settings, save once, then Start Validation (the start button stays disabled until a settings row is saved). Blind vote, then reveal, shuffled order. Read the "what's missing" comments aloud near the end.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1:05 ENRICH.</w:t>
      </w:r>
      <w:r>
        <w:t xml:space="preserve"> Choose Basic. Takes around 40 seconds. Say aloud that AI-suggested framing is unverified until checked. First thing dropped when late.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1:15 RESOLVE.</w:t>
      </w:r>
      <w:r>
        <w:t xml:space="preserve"> Generate the synthesis from Session Overview quick actions, then endorse or reserve, aggregate rates only.</w:t>
      </w:r>
    </w:p>
    <w:p>
      <w:pPr>
        <w:pStyle w:val="KitBody"/>
        <w:numPr>
          <w:ilvl w:val="0"/>
          <w:numId w:val="2"/>
        </w:numPr>
        <w:spacing w:after="90"/>
      </w:pPr>
      <w:r>
        <w:rPr>
          <w:b/>
          <w:bCs/>
        </w:rPr>
        <w:t xml:space="preserve">1:25 Close.</w:t>
      </w:r>
      <w:r>
        <w:t xml:space="preserve"> How to get the report (from their own device, no account), how to delete contributions (from the device they used tonight), and what happens to the record (cited as generated).</w:t>
      </w:r>
    </w:p>
    <w:p>
      <w:pPr>
        <w:pStyle w:val="KitH2"/>
      </w:pPr>
      <w:r>
        <w:t xml:space="preserve">EMERGE: the three lines that matter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The AI groups by topic, not stance. "We need X" and "X is the wrong priority" can land together. Known property, not a fault of the room.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Ask out loud: "What in this group does not belong here?" Use the "..." menu on the idea row to move it. Fix it live, on the projector.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Read the coverage line aloud, then read the unclustered ideas to the room. They are published in the report as open items, and in a needs assessment the unclustered entry is often the finding.</w:t>
      </w:r>
    </w:p>
    <w:p>
      <w:pPr>
        <w:pStyle w:val="KitH2"/>
      </w:pPr>
      <w:r>
        <w:t xml:space="preserve">If something goes wrong, say this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Fear of reprisal ("will this affect my services?"): "Your entry is anonymous: not to me, not to [Organization], not in the stored data. Nobody can act on who said what because nobody can see who said what."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Staff explaining away a need: "Tonight we collect what people experience, not what we can already explain. Put the context in as its own entry."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Project campaigning: "Put it in, and put in what its absence costs you, because that is what makes it count."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Distress or disclosure, quietly and privately: "I am going to stop being your facilitator for a minute. Are you safe right now? Would you like to step out with me?" Break first if you are alone; printed crisis numbers on you.</w:t>
      </w:r>
    </w:p>
    <w:p>
      <w:pPr>
        <w:pStyle w:val="KitH2"/>
      </w:pPr>
      <w:r>
        <w:t xml:space="preserve">Tech quick fixes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Cannot join: re-read the code slowly, send them to /join to type it. The QR and Share-card links drop the code.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Idea did not appear: confirm they pressed submit, then reload their page. The counter updates on its own.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Comment rejected (VALIDATE): comments must be 10 to 1000 characters, and a shorter one is rejected silently with no message. Tell the room to write at least a full sentence.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Bad entry in the stream: hide it from the "..." menu on the idea row in your facilitator view. Hidden ideas are excluded from clustering and analysis. Reversible, and not a deletion.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Clustering looks wrong: correct membership with the group. Never press Re-discover or Regenerate after anyone has voted; it destroys their votes.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Enrich fails: it now says so on screen instead of failing silently. Move on; Enrich is the droppable step.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Screen not updating: press Refresh on the live dashboard or reload. Nothing is lost.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Report will not generate: keep the page open up to two minutes. If it fails, the room can request the report later from their own devices; note the failure on your debrief.</w:t>
      </w:r>
    </w:p>
    <w:p>
      <w:pPr>
        <w:pStyle w:val="KitH2"/>
      </w:pPr>
      <w:r>
        <w:t xml:space="preserve">Do not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press "Complete This Round". Despite the label, it closes the entire session immediately. Close from Session Overview, "Close Session", which confirms first.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press Regenerate on clusters or evolve candidates after anyone has voted.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press Skip Validation. The tallies and denominators are the evidence this session exists to produce.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regenerate a synthesis participants have endorsed; it orphans their endorsements. Generate once.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report numbers from the Session Overview tiles; use Session Analytics for anything that goes in a report or an application.</w:t>
      </w:r>
    </w:p>
    <w:p>
      <w:pPr>
        <w:pStyle w:val="KitBody"/>
        <w:numPr>
          <w:ilvl w:val="0"/>
          <w:numId w:val="2"/>
        </w:numPr>
        <w:spacing w:after="90"/>
      </w:pPr>
      <w:r>
        <w:t xml:space="preserve">Do not promise funding outcomes, claim FCSS requires this, call it a "research study" near the Calgary Foundation, use "every action is logged", "delete from anywhere", or any Canadian data-residency claim.</w:t>
      </w:r>
    </w:p>
    <w:p>
      <w:pPr>
        <w:pStyle w:val="KitMuted"/>
      </w:pPr>
      <w:r>
        <w:t xml:space="preserve">The Grant-Season Community Input Kit. ideajar.ai/resources. August 2026. Event packs are facilitation resources. IdeaJar takes no position on the underlying question.</w:t>
      </w:r>
    </w:p>
    <w:sectPr>
      <w:pgSz w:w="12240" w:h="15840" w:orient="portrait"/>
      <w:pgMar w:top="1260" w:right="1350" w:bottom="126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1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KitTitle">
    <w:name w:val="KitTitle"/>
    <w:basedOn w:val="Normal"/>
    <w:pPr>
      <w:spacing w:after="80"/>
    </w:pPr>
    <w:rPr>
      <w:rFonts w:ascii="Georgia" w:cs="Georgia" w:eastAsia="Georgia" w:hAnsi="Georgia"/>
      <w:b/>
      <w:bCs/>
      <w:color w:val="33312C"/>
      <w:sz w:val="44"/>
      <w:szCs w:val="44"/>
    </w:rPr>
  </w:style>
  <w:style w:type="paragraph" w:styleId="KitSubtitle">
    <w:name w:val="KitSubtitle"/>
    <w:basedOn w:val="Normal"/>
    <w:pPr>
      <w:spacing w:after="260"/>
    </w:pPr>
    <w:rPr>
      <w:rFonts w:ascii="Georgia" w:cs="Georgia" w:eastAsia="Georgia" w:hAnsi="Georgia"/>
      <w:i/>
      <w:iCs/>
      <w:color w:val="7D6B5D"/>
      <w:sz w:val="24"/>
      <w:szCs w:val="24"/>
    </w:rPr>
  </w:style>
  <w:style w:type="paragraph" w:styleId="KitH2">
    <w:name w:val="KitH2"/>
    <w:basedOn w:val="Normal"/>
    <w:next w:val="Normal"/>
    <w:pPr>
      <w:pBdr>
        <w:bottom w:val="single" w:color="D8D2C4" w:sz="4" w:space="4"/>
      </w:pBdr>
      <w:spacing w:after="140" w:before="340"/>
      <w:outlineLvl w:val="0"/>
    </w:pPr>
    <w:rPr>
      <w:rFonts w:ascii="Georgia" w:cs="Georgia" w:eastAsia="Georgia" w:hAnsi="Georgia"/>
      <w:b/>
      <w:bCs/>
      <w:color w:val="5F7256"/>
      <w:sz w:val="28"/>
      <w:szCs w:val="28"/>
    </w:rPr>
  </w:style>
  <w:style w:type="paragraph" w:styleId="KitH3">
    <w:name w:val="KitH3"/>
    <w:basedOn w:val="Normal"/>
    <w:next w:val="Normal"/>
    <w:pPr>
      <w:spacing w:after="100" w:before="240"/>
      <w:outlineLvl w:val="1"/>
    </w:pPr>
    <w:rPr>
      <w:rFonts w:ascii="Georgia" w:cs="Georgia" w:eastAsia="Georgia" w:hAnsi="Georgia"/>
      <w:b/>
      <w:bCs/>
      <w:color w:val="7D6B5D"/>
      <w:sz w:val="23"/>
      <w:szCs w:val="23"/>
    </w:rPr>
  </w:style>
  <w:style w:type="paragraph" w:styleId="KitBody">
    <w:name w:val="KitBody"/>
    <w:basedOn w:val="Normal"/>
    <w:pPr>
      <w:spacing w:after="140" w:line="288"/>
    </w:pPr>
    <w:rPr>
      <w:rFonts w:ascii="Georgia" w:cs="Georgia" w:eastAsia="Georgia" w:hAnsi="Georgia"/>
      <w:color w:val="33312C"/>
      <w:sz w:val="21"/>
      <w:szCs w:val="21"/>
    </w:rPr>
  </w:style>
  <w:style w:type="paragraph" w:styleId="KitVerbatim">
    <w:name w:val="KitVerbatim"/>
    <w:basedOn w:val="Normal"/>
    <w:pPr>
      <w:pBdr>
        <w:left w:val="single" w:color="5F7256" w:sz="12" w:space="8"/>
      </w:pBdr>
      <w:shd w:fill="F5F1E8" w:val="clear"/>
      <w:spacing w:after="140" w:line="288"/>
      <w:ind w:left="400"/>
    </w:pPr>
    <w:rPr>
      <w:rFonts w:ascii="Georgia" w:cs="Georgia" w:eastAsia="Georgia" w:hAnsi="Georgia"/>
      <w:color w:val="33312C"/>
      <w:sz w:val="21"/>
      <w:szCs w:val="21"/>
    </w:rPr>
  </w:style>
  <w:style w:type="paragraph" w:styleId="KitMuted">
    <w:name w:val="KitMuted"/>
    <w:basedOn w:val="Normal"/>
    <w:pPr>
      <w:spacing w:after="0" w:before="300"/>
    </w:pPr>
    <w:rPr>
      <w:rFonts w:ascii="Georgia" w:cs="Georgia" w:eastAsia="Georgia" w:hAnsi="Georgia"/>
      <w:color w:val="8A8578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2026-08-05T16:12:42.090Z</dcterms:created>
  <dcterms:modified xsi:type="dcterms:W3CDTF">2026-08-05T16:12:42.090Z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